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4C19C0" w:rsidRPr="00294123">
        <w:tc>
          <w:tcPr>
            <w:tcW w:w="9606" w:type="dxa"/>
            <w:shd w:val="clear" w:color="auto" w:fill="F2F2F2"/>
          </w:tcPr>
          <w:p w:rsidR="004C19C0" w:rsidRPr="00294123" w:rsidRDefault="004C19C0" w:rsidP="00D53E34">
            <w:pPr>
              <w:spacing w:after="0"/>
              <w:jc w:val="both"/>
              <w:rPr>
                <w:rFonts w:ascii="Times New Roman" w:hAnsi="Times New Roman"/>
                <w:sz w:val="24"/>
                <w:szCs w:val="24"/>
              </w:rPr>
            </w:pPr>
          </w:p>
          <w:p w:rsidR="004C19C0" w:rsidRPr="00294123" w:rsidRDefault="004C19C0" w:rsidP="00D53E34">
            <w:pPr>
              <w:spacing w:after="0"/>
              <w:jc w:val="center"/>
              <w:rPr>
                <w:rFonts w:ascii="Times New Roman" w:hAnsi="Times New Roman"/>
                <w:b/>
                <w:sz w:val="28"/>
                <w:szCs w:val="28"/>
              </w:rPr>
            </w:pPr>
            <w:r w:rsidRPr="00294123">
              <w:rPr>
                <w:rFonts w:ascii="Times New Roman" w:hAnsi="Times New Roman"/>
                <w:b/>
                <w:sz w:val="28"/>
                <w:szCs w:val="28"/>
              </w:rPr>
              <w:t>Доклад за изпълнението на Националната инициатива „Работа за младите хора в България“ 2012-2013 г.</w:t>
            </w:r>
          </w:p>
          <w:p w:rsidR="004C19C0" w:rsidRPr="00294123" w:rsidRDefault="004C19C0" w:rsidP="00D53E34">
            <w:pPr>
              <w:spacing w:after="0"/>
              <w:ind w:left="3540"/>
              <w:jc w:val="center"/>
              <w:rPr>
                <w:rFonts w:ascii="Times New Roman" w:hAnsi="Times New Roman"/>
                <w:b/>
                <w:sz w:val="24"/>
                <w:szCs w:val="24"/>
              </w:rPr>
            </w:pPr>
          </w:p>
          <w:p w:rsidR="004C19C0" w:rsidRPr="00294123" w:rsidRDefault="004C19C0" w:rsidP="00D53E34">
            <w:pPr>
              <w:spacing w:after="0"/>
              <w:ind w:left="3540"/>
              <w:rPr>
                <w:rFonts w:ascii="Times New Roman" w:hAnsi="Times New Roman"/>
                <w:b/>
                <w:sz w:val="24"/>
                <w:szCs w:val="24"/>
              </w:rPr>
            </w:pPr>
            <w:r w:rsidRPr="00294123">
              <w:rPr>
                <w:rFonts w:ascii="Times New Roman" w:hAnsi="Times New Roman"/>
                <w:b/>
                <w:sz w:val="24"/>
                <w:szCs w:val="24"/>
              </w:rPr>
              <w:t>септември 2013 г.</w:t>
            </w:r>
          </w:p>
          <w:p w:rsidR="004C19C0" w:rsidRPr="00294123" w:rsidRDefault="004C19C0" w:rsidP="00D53E34">
            <w:pPr>
              <w:spacing w:after="0"/>
              <w:ind w:left="3540"/>
              <w:rPr>
                <w:rFonts w:ascii="Times New Roman" w:hAnsi="Times New Roman"/>
                <w:sz w:val="24"/>
                <w:szCs w:val="24"/>
              </w:rPr>
            </w:pPr>
          </w:p>
        </w:tc>
      </w:tr>
    </w:tbl>
    <w:p w:rsidR="004C19C0" w:rsidRPr="00294123" w:rsidRDefault="004C19C0" w:rsidP="000E122E">
      <w:pPr>
        <w:jc w:val="both"/>
        <w:rPr>
          <w:rFonts w:ascii="Times New Roman" w:hAnsi="Times New Roman"/>
          <w:sz w:val="24"/>
          <w:szCs w:val="24"/>
        </w:rPr>
      </w:pPr>
    </w:p>
    <w:p w:rsidR="004C19C0" w:rsidRPr="00294123" w:rsidRDefault="004C19C0" w:rsidP="000E122E">
      <w:pPr>
        <w:jc w:val="both"/>
        <w:rPr>
          <w:rFonts w:ascii="Times New Roman" w:hAnsi="Times New Roman"/>
          <w:sz w:val="24"/>
          <w:szCs w:val="24"/>
        </w:rPr>
      </w:pPr>
    </w:p>
    <w:p w:rsidR="004C19C0" w:rsidRPr="00294123" w:rsidRDefault="004C19C0" w:rsidP="000E122E">
      <w:pPr>
        <w:ind w:firstLine="708"/>
        <w:jc w:val="both"/>
        <w:rPr>
          <w:rFonts w:ascii="Times New Roman" w:hAnsi="Times New Roman"/>
          <w:b/>
          <w:sz w:val="24"/>
          <w:szCs w:val="24"/>
        </w:rPr>
      </w:pPr>
      <w:r w:rsidRPr="00294123">
        <w:rPr>
          <w:rFonts w:ascii="Times New Roman" w:hAnsi="Times New Roman"/>
          <w:b/>
          <w:sz w:val="24"/>
          <w:szCs w:val="24"/>
        </w:rPr>
        <w:t>І. ВЪВЕДЕНИЕ;</w:t>
      </w:r>
    </w:p>
    <w:p w:rsidR="004C19C0" w:rsidRPr="00294123" w:rsidRDefault="004C19C0" w:rsidP="000E122E">
      <w:pPr>
        <w:ind w:firstLine="708"/>
        <w:jc w:val="both"/>
        <w:rPr>
          <w:rFonts w:ascii="Times New Roman" w:hAnsi="Times New Roman"/>
          <w:sz w:val="24"/>
          <w:szCs w:val="24"/>
          <w:lang w:eastAsia="bg-BG"/>
        </w:rPr>
      </w:pPr>
      <w:r w:rsidRPr="00294123">
        <w:rPr>
          <w:rFonts w:ascii="Times New Roman" w:hAnsi="Times New Roman"/>
          <w:sz w:val="24"/>
          <w:szCs w:val="24"/>
        </w:rPr>
        <w:t xml:space="preserve">През 2013 г. за втора поредна година продължава изпълнението на Националната инициатива „Работа за младите хора в България” 2012-2013 г. (Национална инициатива). Националната инициатива е приета с Протоколно решение на Министерския съвет от заседанието на 28 март 2012 г. Целта е да се мобилизират усилията на държавните институции, социалните партньори и местната власт за намаляване на младежката безработица в страната. Високата безработица сред младите хора е един от най-острите социални проблеми, породени от икономическата криза, с траен негативен ефект върху обществото като цяло и със сериозни лични последици. Състоянието на трайна </w:t>
      </w:r>
      <w:r w:rsidRPr="00294123">
        <w:rPr>
          <w:rFonts w:ascii="Times New Roman" w:hAnsi="Times New Roman"/>
          <w:sz w:val="24"/>
          <w:szCs w:val="24"/>
          <w:lang w:eastAsia="bg-BG"/>
        </w:rPr>
        <w:t xml:space="preserve">безработица сред младежите увеличава риска пред тях от социално изключване, понижава самоуважението им, намалява доходите им и възможностите за кариера, забавя създаването на семейство и влияе отрицателно върху социалната, икономическата и демографската ситуация. Освен това високата младежка безработица води до загуба на потенциал за икономически растеж на страната. </w:t>
      </w:r>
    </w:p>
    <w:p w:rsidR="004C19C0" w:rsidRPr="00294123" w:rsidRDefault="004C19C0" w:rsidP="000E122E">
      <w:pPr>
        <w:ind w:firstLine="708"/>
        <w:jc w:val="both"/>
        <w:rPr>
          <w:rFonts w:ascii="Times New Roman" w:hAnsi="Times New Roman"/>
          <w:sz w:val="24"/>
          <w:szCs w:val="24"/>
          <w:lang w:eastAsia="bg-BG"/>
        </w:rPr>
      </w:pPr>
      <w:r w:rsidRPr="00294123">
        <w:rPr>
          <w:rFonts w:ascii="Times New Roman" w:hAnsi="Times New Roman"/>
          <w:sz w:val="24"/>
          <w:szCs w:val="24"/>
          <w:lang w:eastAsia="bg-BG"/>
        </w:rPr>
        <w:t>Националната инициатива адресира интегрирани мерки за намаляване на младежката безработица, които взаимно се укрепват и ангажират  заинтересованите страни- държавните институции, социалните партньори и общините. С инициативата стартираха активни мерки за създаване на работни места с перспективи за качествена и устойчива заетост, мерки за повишаване на пригодността за заетост, които отчитат бъдещи тенденции в развитието на пазара на труда, услуги по информиране и консултиране.</w:t>
      </w:r>
    </w:p>
    <w:p w:rsidR="004C19C0" w:rsidRPr="00294123" w:rsidRDefault="004C19C0" w:rsidP="000E122E">
      <w:pPr>
        <w:ind w:firstLine="708"/>
        <w:jc w:val="both"/>
        <w:rPr>
          <w:rFonts w:ascii="Times New Roman" w:hAnsi="Times New Roman"/>
          <w:b/>
          <w:sz w:val="24"/>
          <w:szCs w:val="24"/>
          <w:highlight w:val="yellow"/>
        </w:rPr>
      </w:pPr>
      <w:r w:rsidRPr="00294123">
        <w:rPr>
          <w:rFonts w:ascii="Times New Roman" w:hAnsi="Times New Roman"/>
          <w:b/>
          <w:sz w:val="24"/>
          <w:szCs w:val="24"/>
        </w:rPr>
        <w:t xml:space="preserve">През първото шестмесечие на 2013 г. заетостта при младежите остава на ниско равнище. </w:t>
      </w:r>
      <w:r w:rsidRPr="00294123">
        <w:rPr>
          <w:rFonts w:ascii="Times New Roman" w:hAnsi="Times New Roman"/>
          <w:sz w:val="24"/>
          <w:szCs w:val="24"/>
        </w:rPr>
        <w:t>По данни на Националния статистически институт от Наблюдението на работната сила, през второто тримесечие на 2013 г. заетите младежи на възраст 15-24 г. са 163.5 хил. Заетите млади хора от възрастовата група 15-29 г. са 463.8 хил. Коефициентът на заетост за младежите на възраст 15-24 г. е 20.8%, а за младежите на възраст 15-29 г.- 36.5%.</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През периода на реализация на Националната инициатива, въпреки негативното влияние на икономическата криза, не се допусна скок в младежката безработица. За второто тримесечие на 2013 г. безработните младежи на възраст 15-24 г. са 65.9 хил., а безработните младежи от възрастовата група 15-29 г. - 126.1 хил. Коефициентът на безработица за младежите (15-24 г.) e 28.7%, а за младежите от възрастовата група 15-29 г. - 21.4%.</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Към края на месец август 2013 г. регистрираните безработни младежи до 24 години в бюрата по труда са 33 481. Спрямо месец юли те намаляват с 931 лица. Делът им в общия брой на безработните лица е 9.5%. Безработните младежи с висше образование представляват 7.5% от всички регистрирани безработни лица с висше образование в бюрата по труда и 8.4% от всички регистрирани младежи до 24 години. Делът на младежите без квалификация и специалност остава висок - 63%. С основно и по-ниско образование са почти половината от младежите - 49.6%. Продължително безработните младежи над една година са 20.6%. Делът на новорегистрираните младежи до 24 години от всички новорегистрирани лица от 20.2% през юли намалява до 15.7% през август.</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 xml:space="preserve">Към края на месец август регистрираните безработни младежи до 29 години са 70 830. Спрямо месец юли те намаляват с 1336 лица. Делът им в общия брой на безработните лица е 20.2%. Безработните младежи с висше образование представляват 25% от всички регистрирани безработни лица с висше образование в бюрата по труда и 13.3% от регистрираните младежи до 29 години. Делът на младежите без квалификация и специалност продължава да намалява - с 0.8 процентни пункта (пр.п.), до 60.1%. С основно и по-ниско образование са по-малко от половината от младежите до 29г. и те също продължават да намаляват до 47.7% (при 48.5% през юли). Продължително безработните младежи са 23.9%. Делът на новорегистрираните в бюрата по труда младежи до 29 г. от всички новорегистрирани лица от 34.2% през юли намалява на 29.1% през август. </w:t>
      </w:r>
    </w:p>
    <w:p w:rsidR="004C19C0" w:rsidRPr="00294123" w:rsidRDefault="004C19C0" w:rsidP="000E122E">
      <w:pPr>
        <w:jc w:val="both"/>
        <w:rPr>
          <w:rFonts w:ascii="Times New Roman" w:hAnsi="Times New Roman"/>
          <w:sz w:val="24"/>
          <w:szCs w:val="24"/>
        </w:rPr>
      </w:pPr>
      <w:r w:rsidRPr="00294123">
        <w:rPr>
          <w:rFonts w:ascii="Times New Roman" w:hAnsi="Times New Roman"/>
          <w:sz w:val="24"/>
          <w:szCs w:val="24"/>
        </w:rPr>
        <w:tab/>
        <w:t>Според данните на Евростат за август 2013 г. равнището на младежка безработица в България е 28.2%, а средното за ЕС-28 - 23.3%. Най-високо продължава да е нивото на младежка безработица в Гърция (61.5% по данни за мес</w:t>
      </w:r>
      <w:bookmarkStart w:id="0" w:name="_GoBack"/>
      <w:bookmarkEnd w:id="0"/>
      <w:r w:rsidRPr="00294123">
        <w:rPr>
          <w:rFonts w:ascii="Times New Roman" w:hAnsi="Times New Roman"/>
          <w:sz w:val="24"/>
          <w:szCs w:val="24"/>
        </w:rPr>
        <w:t>ец юни), Испания (56%), Хърватия (52% по данни за месец юни), Италия (40.1%), Кипър (38.6% по данни за месец юни), Португалия (36.8%) и Словакия (31.8%), а най-ниско в Германия (7.7%), Австрия (8.6%), Малта (13.3%), Холандия (11.4%) и Дания (11.5%). Спрямо юли 2013 г. равнището на младежка безработица в България намалява с 0.6 пр.п.</w:t>
      </w:r>
    </w:p>
    <w:p w:rsidR="004C19C0" w:rsidRPr="00294123" w:rsidRDefault="004C19C0" w:rsidP="000E122E">
      <w:pPr>
        <w:jc w:val="both"/>
        <w:rPr>
          <w:rFonts w:ascii="Times New Roman" w:hAnsi="Times New Roman"/>
          <w:sz w:val="24"/>
          <w:szCs w:val="24"/>
        </w:rPr>
      </w:pPr>
      <w:r w:rsidRPr="00294123">
        <w:rPr>
          <w:rFonts w:ascii="Times New Roman" w:hAnsi="Times New Roman"/>
          <w:sz w:val="24"/>
          <w:szCs w:val="24"/>
        </w:rPr>
        <w:tab/>
        <w:t>Основните направления в Националната инициатива „Работа за младите хора в България“ 2012-2013 г. включват комплекс от мерки и действия, насочени към активиране на младите хора без работа, повишаване на тяхната конкурентоспособност и осигуряване на бърз преход от образование към заетост. Младите хора получават услуги по информиране и консултиране, професионално ориентиране, достъп до различни канали за информация. За младежите, които се нуждаят от знания и умения, се осигуряват възможности за включване в курсове за ограмотяване, професионално обучение, обучение по ключови компетентности. Подкрепата при прехода от образование към заетост, осигуряването на първа работа и повишаването на заетостта се осъществява чрез разнообразни мерки за увеличение на субсидираните работни места, увеличено предлагане на възможности за обучение на работното място, насърчаване на предприемачеството и др.</w:t>
      </w:r>
    </w:p>
    <w:p w:rsidR="004C19C0" w:rsidRPr="00294123" w:rsidRDefault="004C19C0" w:rsidP="000E122E">
      <w:pPr>
        <w:jc w:val="both"/>
        <w:rPr>
          <w:rFonts w:ascii="Times New Roman" w:hAnsi="Times New Roman"/>
          <w:sz w:val="24"/>
          <w:szCs w:val="24"/>
        </w:rPr>
      </w:pPr>
    </w:p>
    <w:p w:rsidR="004C19C0" w:rsidRPr="00294123" w:rsidRDefault="004C19C0" w:rsidP="000E122E">
      <w:pPr>
        <w:jc w:val="both"/>
        <w:rPr>
          <w:rFonts w:ascii="Times New Roman" w:hAnsi="Times New Roman"/>
          <w:sz w:val="24"/>
          <w:szCs w:val="24"/>
        </w:rPr>
      </w:pPr>
    </w:p>
    <w:p w:rsidR="004C19C0" w:rsidRPr="00294123" w:rsidRDefault="004C19C0" w:rsidP="000E122E">
      <w:pPr>
        <w:ind w:firstLine="708"/>
        <w:jc w:val="both"/>
        <w:rPr>
          <w:rFonts w:ascii="Times New Roman" w:hAnsi="Times New Roman"/>
          <w:b/>
          <w:i/>
          <w:sz w:val="24"/>
          <w:szCs w:val="24"/>
        </w:rPr>
      </w:pPr>
    </w:p>
    <w:p w:rsidR="004C19C0" w:rsidRPr="00294123" w:rsidRDefault="004C19C0" w:rsidP="000E122E">
      <w:pPr>
        <w:ind w:firstLine="708"/>
        <w:jc w:val="both"/>
        <w:rPr>
          <w:rFonts w:ascii="Times New Roman" w:hAnsi="Times New Roman"/>
          <w:b/>
          <w:sz w:val="24"/>
          <w:szCs w:val="24"/>
        </w:rPr>
      </w:pPr>
      <w:r w:rsidRPr="00294123">
        <w:rPr>
          <w:rFonts w:ascii="Times New Roman" w:hAnsi="Times New Roman"/>
          <w:b/>
          <w:sz w:val="24"/>
          <w:szCs w:val="24"/>
        </w:rPr>
        <w:t>ІІ. МЕХАНИЗЪМ ЗА ИЗПЪЛНЕНИЕ НА НАЦИОНАЛНАТА ИНИЦИАТИВА;</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Националната инициатива „Работа за младите хора в България“ 2012-2013 г. се реализира от държавните институции и социалните партньори. За организиране и координиране на изпълнението, както и за мониторинг на резултатите, към Министерството на труда и социалната политика (МТСП) функционира Координационно звено, което се ръководи от министъра на труда и социалната политика. В звеното участват заместник-министри от отговорните министерства</w:t>
      </w:r>
      <w:r w:rsidRPr="00294123">
        <w:rPr>
          <w:rStyle w:val="FootnoteReference"/>
          <w:rFonts w:ascii="Times New Roman" w:hAnsi="Times New Roman"/>
          <w:sz w:val="24"/>
          <w:szCs w:val="24"/>
        </w:rPr>
        <w:footnoteReference w:id="1"/>
      </w:r>
      <w:r w:rsidRPr="00294123">
        <w:rPr>
          <w:rFonts w:ascii="Times New Roman" w:hAnsi="Times New Roman"/>
          <w:sz w:val="24"/>
          <w:szCs w:val="24"/>
        </w:rPr>
        <w:t>, представители на социалните партньори и Националното сдружение на общините в Република България. Съставът на Координационното звено е обновен със Заповед № РД 01-673 от 04.09.2013 г. на министъра на труда и социалната политика във връзка с конституирането на настоящото Правителство.</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 xml:space="preserve">Националната инициатива се изпълнява чрез Националния план за действие по заетостта (НПДЗ) през 2013 г. Ограничаването на младежката безработица и неактивност e основна задача на НПДЗ 2013 г. Националният план подкрепя икономическото възстановяване и стабилизирането на пазара на труда. Основните приоритети в националната политика през настоящата година включват: увеличаване на заетостта чрез бързо и ефективно устройване на работа на безработните лица на първичния пазар или по програми и насърчителни мерки; повишаване качеството на работната сила чрез придобиване на нова квалификация, повишаване на квалификацията и уменията на заетите и безработните лица за по-висока производителност на труда, в съответствие с потребностите на пазара на труда. </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През април 2013 г. бе увеличен (със 77.8%) финансовият ресурс от държавния бюджет за целевите програми и насърчителни мерки за младежи. С Решение № 224 на Министерския съвет от 5 април 2013 г. за одобряване на допълнителни средства за субсидирана заетост по мерки и програми от Националния план за действие по заетостта през 2013 г. са заделени допълнително 30 617 604 лв. за осигуряване на субсидирани работни места за 15 930 безработни лица от уязвимите групи на пазара на труда- безработни младежи до 29 години, безработни лица с трайни увреждания, родители на деца до 5-годишна възраст, продължително безработни лица и др. Осигурените средства за разкриване на 3050 работни места за младежи са в размер около 15 млн. лв.</w:t>
      </w:r>
    </w:p>
    <w:p w:rsidR="004C19C0" w:rsidRPr="00294123" w:rsidRDefault="004C19C0" w:rsidP="00003450">
      <w:pPr>
        <w:ind w:firstLine="708"/>
        <w:jc w:val="both"/>
        <w:rPr>
          <w:rFonts w:ascii="Times New Roman" w:hAnsi="Times New Roman"/>
          <w:sz w:val="24"/>
          <w:szCs w:val="24"/>
        </w:rPr>
      </w:pPr>
      <w:r w:rsidRPr="00294123">
        <w:rPr>
          <w:rFonts w:ascii="Times New Roman" w:hAnsi="Times New Roman"/>
          <w:sz w:val="24"/>
          <w:szCs w:val="24"/>
        </w:rPr>
        <w:t xml:space="preserve">  </w:t>
      </w:r>
      <w:r w:rsidRPr="00294123">
        <w:rPr>
          <w:rFonts w:ascii="Times New Roman" w:hAnsi="Times New Roman"/>
          <w:b/>
          <w:sz w:val="24"/>
          <w:szCs w:val="24"/>
        </w:rPr>
        <w:t>С цел ограничаване на високата младежка безработица в страната, през юли 2013 г. бяха приети промени в Закона за насърчаване на заетостта (ЗНЗ) от 42-то Народно събрание, с които се въвеждат нови насърчителни мерки</w:t>
      </w:r>
      <w:r w:rsidRPr="00294123">
        <w:rPr>
          <w:rFonts w:ascii="Times New Roman" w:hAnsi="Times New Roman"/>
          <w:sz w:val="24"/>
          <w:szCs w:val="24"/>
        </w:rPr>
        <w:t xml:space="preserve">. Разпоредбата на чл.36а осигурява възможности за гъвкава заетост на непълно работно време на продължително безработни лица до 29-годишна възраст чрез финансиране на разходите на работодателите за труд. Планирано е в мярката да бъдат включени 300 младежи. Осигурените средства са в размер на 777 600 лв. </w:t>
      </w:r>
    </w:p>
    <w:p w:rsidR="004C19C0" w:rsidRPr="00294123" w:rsidRDefault="004C19C0" w:rsidP="00003450">
      <w:pPr>
        <w:ind w:firstLine="708"/>
        <w:jc w:val="both"/>
        <w:rPr>
          <w:rFonts w:ascii="Times New Roman" w:hAnsi="Times New Roman"/>
          <w:sz w:val="24"/>
          <w:szCs w:val="24"/>
        </w:rPr>
      </w:pPr>
      <w:r w:rsidRPr="00294123">
        <w:rPr>
          <w:rFonts w:ascii="Times New Roman" w:hAnsi="Times New Roman"/>
          <w:sz w:val="24"/>
          <w:szCs w:val="24"/>
        </w:rPr>
        <w:t xml:space="preserve">С нова насърчителна мярка се подкрепят образованите младежи в прехода към тяхната първа работа. В мярката, регламентирана в разпоредбата на чл. 36 б от ЗНЗ, могат да участват младежи, завършили средно или висше образование, които не притежават трудов стаж. Средствата, които се предоставят на работодателите, наели на работа млади хора, са в размер на 30 на сто за първите шест месеца, 50 на сто за периода от седмия до 12-  я месец и 75 на сто за оставащия период. Тези средства се изплащат за период от 6 до 18 месеца. </w:t>
      </w:r>
    </w:p>
    <w:p w:rsidR="004C19C0" w:rsidRPr="00294123" w:rsidRDefault="004C19C0" w:rsidP="00451F57">
      <w:pPr>
        <w:ind w:firstLine="708"/>
        <w:jc w:val="both"/>
        <w:rPr>
          <w:rFonts w:ascii="Times New Roman" w:hAnsi="Times New Roman"/>
          <w:sz w:val="24"/>
          <w:szCs w:val="24"/>
        </w:rPr>
      </w:pPr>
      <w:r w:rsidRPr="00294123">
        <w:rPr>
          <w:rFonts w:ascii="Times New Roman" w:hAnsi="Times New Roman"/>
          <w:sz w:val="24"/>
          <w:szCs w:val="24"/>
        </w:rPr>
        <w:t>Достъп до пазара на труда чрез нова насърчителна мярка получават и безработните младежи с основно и по-ниско образование и без квалификация. Мярката осигурява възможности за обучение на конкретно работно място под ръководството на наставник. За всяко разкрито работно място, на което е наето на пълно или непълно работно време за чиракуване безработно лице до 29-годишна възраст, на работодателя се осигуряват средства от държавния бюджет за максимален период от 12 месеца. Със средства от държавния бюджет се субсидира заетостта на лицата и възнаграждението на наставника. Ако работодателят запази заетостта на наетото за чиракуване безработно лице за период, равен на периода за субсидиране, за наставника се предоставят суми и за допълнителния период. За изпълнение на новата насърчителна мярка са осигурени средства в размер на 703 800 лв.</w:t>
      </w:r>
      <w:bookmarkStart w:id="1" w:name="to_paragraph_id11544014"/>
      <w:bookmarkStart w:id="2" w:name="to_paragraph_id11544015"/>
      <w:bookmarkEnd w:id="1"/>
      <w:bookmarkEnd w:id="2"/>
      <w:r w:rsidRPr="00294123">
        <w:rPr>
          <w:rFonts w:ascii="Verdana" w:hAnsi="Verdana"/>
          <w:vanish/>
          <w:sz w:val="24"/>
          <w:szCs w:val="24"/>
          <w:lang w:eastAsia="bg-BG"/>
        </w:rPr>
        <w:t> </w:t>
      </w:r>
    </w:p>
    <w:p w:rsidR="004C19C0" w:rsidRPr="00294123" w:rsidRDefault="004C19C0" w:rsidP="008605EE">
      <w:pPr>
        <w:shd w:val="clear" w:color="auto" w:fill="FFFFFF"/>
        <w:spacing w:after="0" w:line="75" w:lineRule="atLeast"/>
        <w:rPr>
          <w:rFonts w:ascii="Verdana" w:hAnsi="Verdana"/>
          <w:vanish/>
          <w:sz w:val="24"/>
          <w:szCs w:val="24"/>
          <w:lang w:eastAsia="bg-BG"/>
        </w:rPr>
      </w:pPr>
      <w:r w:rsidRPr="00294123">
        <w:rPr>
          <w:rFonts w:ascii="Verdana" w:hAnsi="Verdana"/>
          <w:vanish/>
          <w:sz w:val="24"/>
          <w:szCs w:val="24"/>
          <w:lang w:eastAsia="bg-BG"/>
        </w:rPr>
        <w:t> </w:t>
      </w:r>
    </w:p>
    <w:p w:rsidR="004C19C0" w:rsidRPr="00294123" w:rsidRDefault="004C19C0" w:rsidP="008605EE">
      <w:pPr>
        <w:shd w:val="clear" w:color="auto" w:fill="FFFFFF"/>
        <w:spacing w:after="0" w:line="75" w:lineRule="atLeast"/>
        <w:rPr>
          <w:rFonts w:ascii="Verdana" w:hAnsi="Verdana"/>
          <w:vanish/>
          <w:sz w:val="24"/>
          <w:szCs w:val="24"/>
          <w:lang w:eastAsia="bg-BG"/>
        </w:rPr>
      </w:pPr>
      <w:r w:rsidRPr="00294123">
        <w:rPr>
          <w:rFonts w:ascii="Verdana" w:hAnsi="Verdana"/>
          <w:vanish/>
          <w:sz w:val="24"/>
          <w:szCs w:val="24"/>
          <w:lang w:eastAsia="bg-BG"/>
        </w:rPr>
        <w:t> </w:t>
      </w:r>
    </w:p>
    <w:p w:rsidR="004C19C0" w:rsidRPr="00294123" w:rsidRDefault="004C19C0" w:rsidP="008605EE">
      <w:pPr>
        <w:shd w:val="clear" w:color="auto" w:fill="FFFFFF"/>
        <w:spacing w:after="0" w:line="75" w:lineRule="atLeast"/>
        <w:rPr>
          <w:rFonts w:ascii="Verdana" w:hAnsi="Verdana"/>
          <w:vanish/>
          <w:sz w:val="24"/>
          <w:szCs w:val="24"/>
          <w:lang w:eastAsia="bg-BG"/>
        </w:rPr>
      </w:pPr>
      <w:r w:rsidRPr="00294123">
        <w:rPr>
          <w:rFonts w:ascii="Verdana" w:hAnsi="Verdana"/>
          <w:vanish/>
          <w:sz w:val="24"/>
          <w:szCs w:val="24"/>
          <w:lang w:eastAsia="bg-BG"/>
        </w:rPr>
        <w:t> </w:t>
      </w:r>
    </w:p>
    <w:p w:rsidR="004C19C0" w:rsidRPr="00294123" w:rsidRDefault="004C19C0" w:rsidP="00F901BE">
      <w:pPr>
        <w:ind w:firstLine="708"/>
        <w:jc w:val="both"/>
        <w:rPr>
          <w:rFonts w:ascii="Times New Roman" w:hAnsi="Times New Roman"/>
          <w:sz w:val="24"/>
          <w:szCs w:val="24"/>
        </w:rPr>
      </w:pPr>
      <w:r w:rsidRPr="00294123">
        <w:rPr>
          <w:rFonts w:ascii="Times New Roman" w:hAnsi="Times New Roman"/>
          <w:sz w:val="24"/>
          <w:szCs w:val="24"/>
        </w:rPr>
        <w:t>С Решение на Министерския съвет от заседанието на 11 септември 2013 г. за изменение и допълнение на НПДЗ 2013 г. са създадени условия за разкриване на допълнителни работни места за младежи до 29-годишна възраст. Промените са с цел своевременно наемане на безработните младежи по реда и условията на новата насърчителна мярка, регламентирана в разпоредбата на чл. 36 б от ЗНЗ. Те осигуряват възможности за заетост на 300 млади хора до края на годината. Средствата в размер на близо 104 хил. лв. са осигурени чрез преразпределение на резерва по НПДЗ 2013 г.</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През 2013 г. продължава изпълнението на Националното споразумение „Първа работа“ между Правителството и социалните партньори. Страните по Споразумението работят за изпълнението на инициативи, които подкрепят включването на младите хора на пазара на труда, чрез осигуряване на възможности за придобиване на пръв професионален опит и подпомагане при прехода от образование към работа.</w:t>
      </w:r>
    </w:p>
    <w:p w:rsidR="004C19C0" w:rsidRPr="00294123" w:rsidRDefault="004C19C0" w:rsidP="00902FA4">
      <w:pPr>
        <w:ind w:firstLine="708"/>
        <w:jc w:val="both"/>
        <w:rPr>
          <w:rFonts w:ascii="Times New Roman" w:hAnsi="Times New Roman"/>
          <w:sz w:val="24"/>
          <w:szCs w:val="24"/>
        </w:rPr>
      </w:pPr>
      <w:r w:rsidRPr="00294123">
        <w:rPr>
          <w:rFonts w:ascii="Times New Roman" w:hAnsi="Times New Roman"/>
          <w:sz w:val="24"/>
          <w:szCs w:val="24"/>
        </w:rPr>
        <w:t>Опитът от реализирането на Националната инициатива ще бъде надграден с изпълнението на Гаранцията за младежта. Препоръката за създаване на Гаранция за младежта е приета от Съвета на ЕС на 22 април 2013 г. Препоръката изисква държавите-членки на ЕС да гарантират, че всички млади хора на възраст под 25 години получават добро предложение за работа, продължаване на образованието, чиракуване или стаж в рамките на четири месеца след като останат без работа или напуснат системата на формалното образование. През месец юни е отправен призив от Европейската комисия (ЕК) към държавите-членки на ЕС да обединят усилията си срещу младежката безработица посредством практическо прилагане на препоръката, а именно чрез разработване на национални планове за действие. МТСП стартира разработването на Национален план за изпълнение на Европейската гаранция за младежта 2014-2015 г. Със Заповед № РД 01-540 от 10.07.2013 г. на министъра на труда и социалната политика е създадена междуведомствена работна група, която разработва предложения за мерки за включване в плана. В състава на работната група участват представители на широк кръг институции и организации – министерства, агенции, социални партньори, неправителствени организации. Разработени са предложения в няколко направления: професионално ориентиране и мотивиране, консултиране и информиране; обучение; заетост; мобилност за работа; насърчаване на предприемачеството. Мерките ще бъдат основа за нови инициативи, насочени към младежите, които ще се изпълняват през следващия програмен период 2014-2020 г. През 2014 г. ще стартира изпълнението на Националния план за изпълнение на Гаранцията за младежта.</w:t>
      </w:r>
    </w:p>
    <w:p w:rsidR="004C19C0" w:rsidRPr="00294123" w:rsidRDefault="004C19C0" w:rsidP="000E122E">
      <w:pPr>
        <w:ind w:firstLine="709"/>
        <w:jc w:val="both"/>
        <w:rPr>
          <w:rFonts w:ascii="Times New Roman" w:hAnsi="Times New Roman"/>
          <w:b/>
          <w:sz w:val="24"/>
          <w:szCs w:val="24"/>
        </w:rPr>
      </w:pPr>
    </w:p>
    <w:p w:rsidR="004C19C0" w:rsidRPr="00294123" w:rsidRDefault="004C19C0" w:rsidP="000E122E">
      <w:pPr>
        <w:ind w:firstLine="709"/>
        <w:jc w:val="both"/>
        <w:rPr>
          <w:rFonts w:ascii="Times New Roman" w:hAnsi="Times New Roman"/>
          <w:b/>
          <w:sz w:val="24"/>
          <w:szCs w:val="24"/>
        </w:rPr>
      </w:pPr>
      <w:r w:rsidRPr="00294123">
        <w:rPr>
          <w:rFonts w:ascii="Times New Roman" w:hAnsi="Times New Roman"/>
          <w:b/>
          <w:sz w:val="24"/>
          <w:szCs w:val="24"/>
        </w:rPr>
        <w:t>ІІI. ИЗПЪЛНЕНИЕ НА НАЦИОНАЛНАТА ИНИЦИАТИВА ПО ОСНОВНИ НАПРАВЛЕНИЯ;</w:t>
      </w:r>
    </w:p>
    <w:p w:rsidR="004C19C0" w:rsidRPr="00294123" w:rsidRDefault="004C19C0" w:rsidP="000E122E">
      <w:pPr>
        <w:ind w:firstLine="709"/>
        <w:rPr>
          <w:rFonts w:ascii="Times New Roman" w:hAnsi="Times New Roman"/>
          <w:b/>
          <w:i/>
          <w:sz w:val="24"/>
          <w:szCs w:val="24"/>
        </w:rPr>
      </w:pPr>
      <w:r w:rsidRPr="00294123">
        <w:rPr>
          <w:rFonts w:ascii="Times New Roman" w:hAnsi="Times New Roman"/>
          <w:b/>
          <w:sz w:val="24"/>
          <w:szCs w:val="24"/>
        </w:rPr>
        <w:t>1. Активиране на младите хора без работа;</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 xml:space="preserve">Предоставянето на услуги за активиране на младите хора, които не учат и не работят, а и не търсят активно работа, е важен инструмент, който подпомага разгръщането на техния потенциал в света на труда. Целта е младите хора да заемат своето място на пазара на труда и да получат възможност за подкрепа от държавата чрез АЗ и бюрата по труда. Използват се различни инструменти за комуникация и информационни канали: общи и специализирани за младежи трудови борси, електронна трудова борса, обществени информационни терминали, телефони за информация и консултация, изнесени работни места и др. Те съответстват на потребностите на младото поколение и допринасят за ефективното им информиране и консултиране. Търсенето и получаването на информация чрез електронната система на АЗ разширява възможностите за достъп на младите хора до информация за пазара на труда. </w:t>
      </w:r>
    </w:p>
    <w:p w:rsidR="004C19C0" w:rsidRPr="00294123" w:rsidRDefault="004C19C0" w:rsidP="000E122E">
      <w:pPr>
        <w:ind w:firstLine="709"/>
        <w:jc w:val="both"/>
        <w:rPr>
          <w:rFonts w:ascii="Times New Roman" w:hAnsi="Times New Roman"/>
          <w:sz w:val="24"/>
          <w:szCs w:val="24"/>
        </w:rPr>
      </w:pPr>
      <w:r w:rsidRPr="00294123">
        <w:rPr>
          <w:rFonts w:ascii="Times New Roman" w:hAnsi="Times New Roman"/>
          <w:sz w:val="24"/>
          <w:szCs w:val="24"/>
        </w:rPr>
        <w:t>С цел активиране и включване на пазара на труда на неактивните и обезкуражени лица се реализира Националната програма „Активиране на неактивни лица”. В резултат от предприетите мерки по програмата, от началото на 2013 г. в бюрата по труда са регистрирани 3292 безработни младежи, а от началото на 2012 г. те са 7303. През април 2013 г. програмата е допълнена и развита с компонент „Психологическо подпомагане, мотивационно обучение и консултиране на безработни лица”. За предоставяне на качествени услуги на психологическо подпомагане и мотивационно обучение на безработните лица към бюрата по труда се назначават безработни психолози, които предварително се включват в обучение за придобиване на професионална квалификация, по част от професията Посредник на трудовата борса. В зависимост от индивидуалните потребности и идентифицираните  проблеми, психолозите предоставят на безработните лица, включително и на младежите една или няколко психологически услуги:</w:t>
      </w:r>
    </w:p>
    <w:p w:rsidR="004C19C0" w:rsidRPr="00294123" w:rsidRDefault="004C19C0" w:rsidP="000E122E">
      <w:pPr>
        <w:pStyle w:val="ListParagraph"/>
        <w:numPr>
          <w:ilvl w:val="0"/>
          <w:numId w:val="2"/>
        </w:numPr>
        <w:jc w:val="both"/>
        <w:rPr>
          <w:rFonts w:ascii="Times New Roman" w:hAnsi="Times New Roman"/>
          <w:sz w:val="24"/>
          <w:szCs w:val="24"/>
        </w:rPr>
      </w:pPr>
      <w:r w:rsidRPr="00294123">
        <w:rPr>
          <w:rFonts w:ascii="Times New Roman" w:hAnsi="Times New Roman"/>
          <w:sz w:val="24"/>
          <w:szCs w:val="24"/>
        </w:rPr>
        <w:t xml:space="preserve">Индивидуално психологическо консултиране, което  включва: използване на специфични психологически техники, които намаляват напрежението и допринасят за преодоляване на първоначалните трудности в консултациите; идентифициране на проблемите; работа върху преодоляването на личностните бариери; подпомагане на безработните лица при вземане на решения за постигане на конкретни резултати и разрешаване на съществуващи проблеми и др.; </w:t>
      </w:r>
    </w:p>
    <w:p w:rsidR="004C19C0" w:rsidRPr="00294123" w:rsidRDefault="004C19C0" w:rsidP="000E122E">
      <w:pPr>
        <w:pStyle w:val="ListParagraph"/>
        <w:numPr>
          <w:ilvl w:val="0"/>
          <w:numId w:val="2"/>
        </w:numPr>
        <w:jc w:val="both"/>
        <w:rPr>
          <w:rFonts w:ascii="Times New Roman" w:hAnsi="Times New Roman"/>
          <w:sz w:val="24"/>
          <w:szCs w:val="24"/>
        </w:rPr>
      </w:pPr>
      <w:r w:rsidRPr="00294123">
        <w:rPr>
          <w:rFonts w:ascii="Times New Roman" w:hAnsi="Times New Roman"/>
          <w:sz w:val="24"/>
          <w:szCs w:val="24"/>
        </w:rPr>
        <w:t>Психологическо изследване за диагностика на индивидуалните психологически характеристики на безработното лице; специализиран подбор по заявка на работодател за обявени свободни работни места; подбор за включване в програми и мерки за заетост и обучение;</w:t>
      </w:r>
    </w:p>
    <w:p w:rsidR="004C19C0" w:rsidRPr="00294123" w:rsidRDefault="004C19C0" w:rsidP="000E122E">
      <w:pPr>
        <w:pStyle w:val="ListParagraph"/>
        <w:numPr>
          <w:ilvl w:val="0"/>
          <w:numId w:val="2"/>
        </w:numPr>
        <w:jc w:val="both"/>
        <w:rPr>
          <w:rFonts w:ascii="Times New Roman" w:hAnsi="Times New Roman"/>
          <w:sz w:val="24"/>
          <w:szCs w:val="24"/>
        </w:rPr>
      </w:pPr>
      <w:r w:rsidRPr="00294123">
        <w:rPr>
          <w:rFonts w:ascii="Times New Roman" w:hAnsi="Times New Roman"/>
          <w:sz w:val="24"/>
          <w:szCs w:val="24"/>
        </w:rPr>
        <w:t>Групово психологическо консултиране с цел формиране на социални умения при търсене на работа; справяне със стреса и повишаване на самооценката на безработните лица; изграждане на основни умения за общуване и представяне пред работодатели; подготовка на документи за кандидатстване за работа, подпомагане на трудовата реализация и адаптацията към пазара на труда и др.</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 xml:space="preserve">Към настоящия момент вече работят 28 психолози, 7 се обучават и предстои назначаването им. </w:t>
      </w:r>
    </w:p>
    <w:p w:rsidR="004C19C0" w:rsidRPr="00294123" w:rsidRDefault="004C19C0" w:rsidP="00305162">
      <w:pPr>
        <w:ind w:firstLine="708"/>
        <w:jc w:val="both"/>
        <w:rPr>
          <w:rFonts w:ascii="Times New Roman" w:hAnsi="Times New Roman"/>
          <w:sz w:val="24"/>
          <w:szCs w:val="24"/>
        </w:rPr>
      </w:pPr>
      <w:r w:rsidRPr="00294123">
        <w:rPr>
          <w:rFonts w:ascii="Times New Roman" w:hAnsi="Times New Roman"/>
          <w:sz w:val="24"/>
          <w:szCs w:val="24"/>
        </w:rPr>
        <w:t xml:space="preserve">През септември 2013 г. са назначени 10 мениджъри на случай (кейс-мениджърите), за да се подпомогнат младежите. Те оказват подкрепа при прехода между различните състояния на пазара на труда - от безработица към заетост, от безработица към обучение. Мениджърите на случай изпълняват функцията на посредник между лицата и институциите, които предоставят социални, здравни, образователни и др. услуги и допълват по ефективен начин посредническите услуги, предоставяни от бюрата по труда. Те работят съвместно с професионалисти в различни области, за да предложат пакет от услуги, които в максимална степен удовлетворяват потребностите на младите хора. По Програмата „Активиране на неактивни лица“ пилотно се обучават и назначават като мениджъри на случай регистрирани безработни лица, с висше образование по специалности в областта на педагогическите, хуманитарните, социалните, стопанските и правните науки. Мениджърите на случай притежават добри комуникативни умения, познания за законодателната уредба в областта на заетостта, образованието, обучението на възрастни, социалното подпомагане и др., както и знания за програми и насърчителни мерки, финансирани от държавния бюджет, и за схеми, реализирани по ОП РЧР. </w:t>
      </w:r>
    </w:p>
    <w:p w:rsidR="004C19C0" w:rsidRPr="00294123" w:rsidRDefault="004C19C0" w:rsidP="00305162">
      <w:pPr>
        <w:ind w:firstLine="708"/>
        <w:jc w:val="both"/>
        <w:rPr>
          <w:rFonts w:ascii="Times New Roman" w:hAnsi="Times New Roman"/>
          <w:sz w:val="24"/>
          <w:szCs w:val="24"/>
        </w:rPr>
      </w:pPr>
      <w:r w:rsidRPr="00294123">
        <w:rPr>
          <w:rFonts w:ascii="Times New Roman" w:hAnsi="Times New Roman"/>
          <w:sz w:val="24"/>
          <w:szCs w:val="24"/>
        </w:rPr>
        <w:t>През 2013 г. продължава прилагането в практиката на Методиката за работа на трудовите посредници с безработните младежи до 29 години, регистрирани в бюрата по труда. Методиката съдържа техники на комуникация и практически съвети, които служителите прилагат при консултирането на младежи - техники за задаване на въпроси, за преодоляване на конфликтни ситуации и др. С оглед изграждане на положителна мотивация трудовите посредници и психолозите в бюрата по труда прилагат различни методи при своите срещи с безработните младежи. Извършва се подготовка за срещи с работодатели, подготовка на документите за кандидатстване, изготвяне на автобиография и мотивационно писмо, насочване към подходящи услуги.</w:t>
      </w:r>
    </w:p>
    <w:p w:rsidR="004C19C0" w:rsidRPr="00294123" w:rsidRDefault="004C19C0" w:rsidP="00FE3AF3">
      <w:pPr>
        <w:ind w:firstLine="708"/>
        <w:jc w:val="both"/>
        <w:rPr>
          <w:rFonts w:ascii="Times New Roman" w:hAnsi="Times New Roman"/>
          <w:sz w:val="24"/>
          <w:szCs w:val="24"/>
        </w:rPr>
      </w:pPr>
      <w:r w:rsidRPr="00294123">
        <w:rPr>
          <w:rFonts w:ascii="Times New Roman" w:hAnsi="Times New Roman"/>
          <w:sz w:val="24"/>
          <w:szCs w:val="24"/>
        </w:rPr>
        <w:t xml:space="preserve">Националната инициатива се реализира с активното участие на социалните партньори. Кампанията на </w:t>
      </w:r>
      <w:r w:rsidRPr="00294123">
        <w:rPr>
          <w:rFonts w:ascii="Times New Roman" w:hAnsi="Times New Roman"/>
          <w:bCs/>
          <w:sz w:val="24"/>
          <w:szCs w:val="24"/>
        </w:rPr>
        <w:t>Конфедерацията на независимите синдикати в България</w:t>
      </w:r>
      <w:r w:rsidRPr="00294123">
        <w:rPr>
          <w:rFonts w:ascii="Times New Roman" w:hAnsi="Times New Roman"/>
          <w:b/>
          <w:bCs/>
          <w:sz w:val="24"/>
          <w:szCs w:val="24"/>
        </w:rPr>
        <w:t xml:space="preserve"> (</w:t>
      </w:r>
      <w:r w:rsidRPr="00294123">
        <w:rPr>
          <w:rFonts w:ascii="Times New Roman" w:hAnsi="Times New Roman"/>
          <w:bCs/>
          <w:sz w:val="24"/>
          <w:szCs w:val="24"/>
        </w:rPr>
        <w:t xml:space="preserve">КНСБ) </w:t>
      </w:r>
      <w:r w:rsidRPr="00294123">
        <w:rPr>
          <w:rFonts w:ascii="Times New Roman" w:hAnsi="Times New Roman"/>
          <w:sz w:val="24"/>
          <w:szCs w:val="24"/>
        </w:rPr>
        <w:t>„Моето първо работно място”, реализирана през 2011/ 2012 г., е продължена и през учебната 2012/2013 г. Целта е да се подпомогне преходът на зрелостниците от училище към пазара на труда и тяхната успешна адаптация към света на труда. Кампанията допринася за развитието на гражданското самосъзнание на учениците, завършващи средните училища в България. В рамките на кампанията са подготвени и издадени наръчници „Моето първо работно място”, както за преподаватели, така и за ученици от горните класове. Проведените обучения на 2 024 класни ръководители от 280 населени места по ключова компетентност „Трудови, социални и осигурителни отношения” дават възможност в рамките на часа на класния ръководител зрелостниците да бъдат запознати с основните им права. Изработените и отпечатани девет вида информационно - тематични листовки са достъпни и в електронен вариант (http://mfwp.labour-bg.net ): „Искам да постъпя на работа“; „Започвам работа“; „Възнаграждението на моя труд“; „Защита от рискове на работното място и в живота– задължително осигуряване“; „Работно време“; „Безопасен и квалифициран труд“; „Работа в чужбина“; „Веднъж постъпил на работа мога ли нещо да променя?“ „Кой следи за правата на работещите?“. В проведените обучения „Моето първо работно място“ са участвали 117 983 младежи на възраст между 17 и 19 години.</w:t>
      </w:r>
    </w:p>
    <w:p w:rsidR="004C19C0" w:rsidRPr="00294123" w:rsidRDefault="004C19C0" w:rsidP="008521AF">
      <w:pPr>
        <w:ind w:firstLine="708"/>
        <w:jc w:val="both"/>
        <w:rPr>
          <w:rFonts w:ascii="Times New Roman" w:hAnsi="Times New Roman"/>
          <w:sz w:val="24"/>
          <w:szCs w:val="24"/>
        </w:rPr>
      </w:pPr>
      <w:r w:rsidRPr="00294123">
        <w:rPr>
          <w:rFonts w:ascii="Times New Roman" w:hAnsi="Times New Roman"/>
          <w:sz w:val="24"/>
          <w:szCs w:val="24"/>
        </w:rPr>
        <w:t>През 2012/ 2013 г. в рамките на проект „Сигурност чрез закона, гъвкавост чрез колективното трудово договаряне“ по Оперативна програма „Развитие на човешките ресурси“ (ОП РЧР) е проведено обучение от КНСБ по ключовите компетентности - „Работа в мрежи”, „Работа в интеркултурна среда”, „Лидерство”, „Управление на промяната”, както и обучение на работното място по „Индустриални отношения“. Успешно са завършили обученията 583 младежи. Проектът подобрява адаптивността на заетите лица към предизвикателствата на пазара на труда в България чрез прилагане на мерки за гъвкава сигурност посредством съвместни действия на социалните партньори - КНСБ и Българската стопанска камара – съюз на българския бизнес (БСК).</w:t>
      </w:r>
    </w:p>
    <w:p w:rsidR="004C19C0" w:rsidRPr="00294123" w:rsidRDefault="004C19C0" w:rsidP="004D4ED3">
      <w:pPr>
        <w:ind w:firstLine="708"/>
        <w:jc w:val="both"/>
        <w:rPr>
          <w:rFonts w:ascii="Times New Roman" w:hAnsi="Times New Roman"/>
          <w:sz w:val="24"/>
          <w:szCs w:val="24"/>
        </w:rPr>
      </w:pPr>
      <w:r w:rsidRPr="00294123">
        <w:rPr>
          <w:rFonts w:ascii="Times New Roman" w:hAnsi="Times New Roman"/>
          <w:sz w:val="24"/>
          <w:szCs w:val="24"/>
        </w:rPr>
        <w:t>През месец април 2013 г. е организиран фотоконкурс „Лицето на труда” от КНСБ и СНЦ „Младежки форум 21 век”, с участието на любители и професионални фотографи на възраст от 16 до 35 години. Тридесет високо оценени фотографии от участвалите деветдесет и една, са отпечатани и представени в поредица от изложби – „Лицето на труда“ в областните градове на страната.</w:t>
      </w:r>
    </w:p>
    <w:p w:rsidR="004C19C0" w:rsidRPr="00294123" w:rsidRDefault="004C19C0" w:rsidP="008521AF">
      <w:pPr>
        <w:ind w:firstLine="708"/>
        <w:jc w:val="both"/>
        <w:rPr>
          <w:rFonts w:ascii="Times New Roman" w:hAnsi="Times New Roman"/>
          <w:sz w:val="24"/>
          <w:szCs w:val="24"/>
        </w:rPr>
      </w:pPr>
      <w:r w:rsidRPr="00294123">
        <w:rPr>
          <w:rFonts w:ascii="Times New Roman" w:hAnsi="Times New Roman"/>
          <w:sz w:val="24"/>
          <w:szCs w:val="24"/>
        </w:rPr>
        <w:t xml:space="preserve">По случай 1-ви май Международен ден на труда и международната работническа солидарност е проведена Национална младежка конференция на тема „Достойна реализация на младите хора в България” с участието на повече от 80 младежи. Конференцията е организирана от КНСБ, съвместно със СНЦ „Младежки форум 21 век” и Фондация „Фридрих Еберт”. </w:t>
      </w:r>
    </w:p>
    <w:p w:rsidR="004C19C0" w:rsidRPr="00294123" w:rsidRDefault="004C19C0" w:rsidP="00962BB2">
      <w:pPr>
        <w:ind w:firstLine="708"/>
        <w:jc w:val="both"/>
        <w:rPr>
          <w:rFonts w:ascii="Times New Roman" w:hAnsi="Times New Roman"/>
          <w:sz w:val="24"/>
          <w:szCs w:val="24"/>
        </w:rPr>
      </w:pPr>
      <w:r w:rsidRPr="00294123">
        <w:rPr>
          <w:rFonts w:ascii="Times New Roman" w:hAnsi="Times New Roman"/>
          <w:sz w:val="24"/>
          <w:szCs w:val="24"/>
        </w:rPr>
        <w:t>През периода юни – септември 2013 г. КНСБ и СНЦ „Младежки форум 21 век” са информирали младежите в България за техните трудови, социални, осигурителни и синдикални права чрез информационни шатри, по време на различни младежки инициативи, реализирани на национално и регионално ниво.</w:t>
      </w:r>
    </w:p>
    <w:p w:rsidR="004C19C0" w:rsidRPr="00294123" w:rsidRDefault="004C19C0" w:rsidP="00962BB2">
      <w:pPr>
        <w:ind w:firstLine="708"/>
        <w:jc w:val="both"/>
        <w:rPr>
          <w:rFonts w:ascii="Times New Roman" w:hAnsi="Times New Roman"/>
          <w:sz w:val="24"/>
          <w:szCs w:val="24"/>
        </w:rPr>
      </w:pPr>
      <w:r w:rsidRPr="00294123">
        <w:rPr>
          <w:rFonts w:ascii="Times New Roman" w:hAnsi="Times New Roman"/>
          <w:sz w:val="24"/>
          <w:szCs w:val="24"/>
        </w:rPr>
        <w:t xml:space="preserve">Конфедерацията на труда „Подкрепа” (КТ „Подкрепа“) активно съдейства за реализиране на Националната инициатива, в рамките на своите компетентности и поетите ангажименти в подписаното на 06.06.2012 г. Национално споразумение „Първа работа”. Експертите, активно ангажирани с проблемите на младежката безработица, участват в работата на работните групи със становища, предложения, препоръки. В рамките на проект „Подкрепа за достоен труд”, експерти на КТ „Подкрепа” в цялата страна са информирали и консултирали над 1000 младежи, чрез организиране на работни срещи, индивидуални консултации, касаещи проблемите на младежката заетост. </w:t>
      </w:r>
    </w:p>
    <w:p w:rsidR="004C19C0" w:rsidRPr="00294123" w:rsidRDefault="004C19C0" w:rsidP="00195D32">
      <w:pPr>
        <w:ind w:firstLine="708"/>
        <w:jc w:val="both"/>
        <w:rPr>
          <w:rFonts w:ascii="Times New Roman" w:hAnsi="Times New Roman"/>
          <w:sz w:val="24"/>
          <w:szCs w:val="24"/>
        </w:rPr>
      </w:pPr>
      <w:r w:rsidRPr="00294123">
        <w:rPr>
          <w:rFonts w:ascii="Times New Roman" w:hAnsi="Times New Roman"/>
          <w:sz w:val="24"/>
          <w:szCs w:val="24"/>
        </w:rPr>
        <w:t>Продължава провеждането на две информационни кампании: „Първи стъпки след средното образование” и „Временна и сезонна заетост на учащи се младежи”. Кампаниите запознават младежите в системата на средното образование с основните им трудови и осигурителни права, предоставят систематизирана информация за пазара на труда в съответния регион. Проведена е и кампания, включваща дискусионни кръгли маси на тема „Младежка заетост”, с участието на младежки неправителствени организации, представители на местната власт, на местни ученически съвети, работодатели. Експерти на КТ „Подкрепа“ са участвали и в кампанията „Национални дни на кариерата”, проведена в седем университетски града. Кампанията е създала условия за среща на младите специалисти и студентите с бизнеса, за да се подпомогне тяхното кариерно развитие.</w:t>
      </w:r>
    </w:p>
    <w:p w:rsidR="004C19C0" w:rsidRPr="00294123" w:rsidRDefault="004C19C0" w:rsidP="00195D32">
      <w:pPr>
        <w:ind w:firstLine="708"/>
        <w:jc w:val="both"/>
        <w:rPr>
          <w:rFonts w:ascii="Times New Roman" w:hAnsi="Times New Roman"/>
          <w:sz w:val="24"/>
          <w:szCs w:val="24"/>
        </w:rPr>
      </w:pPr>
      <w:r w:rsidRPr="00294123">
        <w:rPr>
          <w:rFonts w:ascii="Times New Roman" w:hAnsi="Times New Roman"/>
          <w:sz w:val="24"/>
          <w:szCs w:val="24"/>
        </w:rPr>
        <w:t>БСК изпълнява поетите ангажименти, свързани с изпълнението на Националната инициатива „Работа за младите хора в България“ 2012-2013 г. и подписаното Национално споразумение „Първа работа“ между Правителството на Република България и социалните партньори, в подкрепа на младите хора за успешна реализация на пазара на труда. На членовете и структурите на БСК се предоставя своевременно информация за състоянието на пазара на труда и възможностите за наемане на работа на младежи до 29-годишна възраст по програми и мерки от НПДЗ и ОП РЧР.</w:t>
      </w:r>
    </w:p>
    <w:p w:rsidR="004C19C0" w:rsidRPr="00294123" w:rsidRDefault="004C19C0" w:rsidP="000E122E">
      <w:pPr>
        <w:ind w:firstLine="708"/>
        <w:jc w:val="both"/>
        <w:rPr>
          <w:rFonts w:ascii="Times New Roman" w:hAnsi="Times New Roman"/>
          <w:b/>
          <w:sz w:val="24"/>
          <w:szCs w:val="24"/>
        </w:rPr>
      </w:pP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b/>
          <w:sz w:val="24"/>
          <w:szCs w:val="24"/>
        </w:rPr>
        <w:t>2. Повишаване на конкурентоспособността на младите хора на пазара на труда;</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Младежите, които се нуждаят от нови знания и умения, се включват в различни обучения с практическа насоченост, включително и финансирани с ваучери. Обученията са с широк обхват: по част от професия, за придобиване на квалификация по професия, обучения по ключови компетентности, търсени на пазара на труда, в т.ч. информационно-комуникационни технологии и чуждоезиково обучение. Финансирането е осигурено със средства от държавния бюджет и по ОП РЧР. За младежите, които са неграмотни или с ниска грамотност, се предоставя възможност за включване в курсове за ограмотяване и в курсове за обучение за завършване на класове от основното образование.</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b/>
          <w:sz w:val="24"/>
          <w:szCs w:val="24"/>
        </w:rPr>
        <w:t>От началото на 2012 г. до месец август 2013 г. в обучение по програми за обучение и заетост, финансирани със средства от държавния бюджет, са включени общо 3345 младежи. Към края на август 2013 г. в обучение по схемите на ОП РЧР са включени 71 585 младежи.</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 xml:space="preserve">През 2013 г. съвместно със социалните партньори се реализират проектите „Шанс за работа 2013”, „Професионалист” и „Шанс за успех”, а проектът „Подобряване пригодността за заетост на безработни лица чрез повишени професионални и ключови компетентности” се изпълнява от Държавно предприятие „Българо-германски център за професионално обучение“ (ДП БГЦПО). Чрез обучение по проектите </w:t>
      </w:r>
      <w:r w:rsidRPr="00294123">
        <w:rPr>
          <w:rFonts w:ascii="Times New Roman" w:hAnsi="Times New Roman"/>
          <w:bCs/>
          <w:sz w:val="24"/>
          <w:szCs w:val="24"/>
        </w:rPr>
        <w:t>1323 младежи до 29-годишна възраст са повишили конкурентоспособността си на пазара на труда.</w:t>
      </w:r>
      <w:r w:rsidRPr="00294123">
        <w:rPr>
          <w:rFonts w:ascii="Times New Roman" w:hAnsi="Times New Roman"/>
          <w:sz w:val="24"/>
          <w:szCs w:val="24"/>
        </w:rPr>
        <w:t xml:space="preserve"> В рамките на проект „Професионалист“, който се изпълнява от КТ „Подкрепа“, безработните лица се включват в комплексно обучение, което обхваща мотивационно обучение, обучение по ключова компетентност „Управление на конфликти”, обучение за придобиване на професионална квалификация по професиите „готвач”, „сервитьор-барман”, „продавач-консултант”, „оператор на компютър”. На 20% от включените в проекта лица се осигурява субсидирана заетост за 3 месеца, а 30% от успешно завършилите обучение за придобиване на професионална квалификация се включват в заетост (самонаемане или наемане за стажуване) за не по-малко от 1 месец. Безработните младежи са една от целевите групи по проекта. През периода януари - август 2013 г. в обучение са включени 756 младежи до 29-годишна възраст. В резултат от реализацията на проекта над 1000 младежи са направили своя успешен преход от безработица към заетост, като повече от половината на първичния пазар на труда.</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Проектът „Шанс за успех” се изпълнява от Асоциацията на индустриалния капитал в България. Проектът предоставя на безработните лица възможности за качествено обучение, съобразено с изискванията на работодателите и субсидирана заетост в съответствие с придобитата квалификация. Проектът подпомага интеграцията на пазара на труда на безработни младежи до 29 години без квалификация и/или без трудов опит, безработни лица над 50 години без квалификация и лица с увреждания. През периода януари - август 2013 г. в проекта са включени 129 безработни младежи до 29 години.</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Проектът „Шанс за работа 2013” предоставя мотивационно обучение, обучение по ключова компетентност „Работа в екип” и професионално обучение по част от професия „болногледач”. Проектът се изпълнява от Конфедерацията на независимите синдикати в България (КНСБ). През периода януари - август 2013г. в обучение по проекта са включени 3-ма младежи до 29-годишна възраст.</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Проектът „Подобряване пригодността за заетост на безработни лица чрез повишени професионални и ключови компетентности” е насочен към безработни лица от групите в неравностойно положение на пазара на труда, които се подпомагат чрез комплекс от мерки: информиране, консултиране, мотивационно обучение, обучение за придобиване на знания и умения по различни професии/специалности, по ключови компетентности и социални умения. През периода януари - август 2013 г. в проекта са включени 421 младежи до 29 години, от които 14 са безработни младежи от ромски произход.</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 xml:space="preserve">Ефективната координация в политиките и партньорството между държавните институции с компетентности в различни области - заетост, образование, социално включване, е ключово условие за засилване на подкрепата за интеграцията на младите хора на пазара на труда. Активен участник в реализацията на Националната инициатива „Работа за младите хора в България“ 2012-2013 г. е Министерството на образованието и науката (МОН). МОН изпълнява два проекта по схемата „Ученически и студентски практики“, които имат принос за намаляване на младежката безработица, чрез осигуряване на допълнителни знания и умения на учениците и студентите за тяхната по-гъвкава адаптация на пазара на труда. Проектът „Ученически практики“ допринася за подобряване на качеството на професионалното образование и обучение чрез усъвършенстване на практическото обучение на учениците в съответствие с потребностите на пазара на труда. За целта се осигуряват възможности за практика в работна среда, като бизнесът активно се включва при разработването на програми за практическо обучение по професии. Проектът допринася и за повишаване на квалификацията на обучаващите от системата на професионалното образование и обучение със специфични компетентности за организацията на практическо обучение в реална работна среда и в условията на партньорство с работодателите. За максимално улеснение на участниците, реализацията на дейностите по проекта се осъществява изцяло по електронен път чрез уеб-базирана система </w:t>
      </w:r>
      <w:r w:rsidRPr="00294123">
        <w:rPr>
          <w:rFonts w:ascii="Times New Roman" w:hAnsi="Times New Roman"/>
          <w:sz w:val="24"/>
          <w:szCs w:val="24"/>
          <w:lang w:eastAsia="bg-BG"/>
        </w:rPr>
        <w:t>(</w:t>
      </w:r>
      <w:r w:rsidRPr="00294123">
        <w:rPr>
          <w:rFonts w:ascii="Times New Roman" w:hAnsi="Times New Roman"/>
          <w:color w:val="0000FF"/>
          <w:sz w:val="24"/>
          <w:szCs w:val="24"/>
          <w:u w:val="single"/>
          <w:lang w:eastAsia="bg-BG"/>
        </w:rPr>
        <w:t>http://praktiki.mon.bg</w:t>
      </w:r>
      <w:r w:rsidRPr="00294123">
        <w:rPr>
          <w:rFonts w:ascii="Times New Roman" w:hAnsi="Times New Roman"/>
          <w:sz w:val="24"/>
          <w:szCs w:val="24"/>
          <w:lang w:eastAsia="bg-BG"/>
        </w:rPr>
        <w:t>)</w:t>
      </w:r>
      <w:r w:rsidRPr="00294123">
        <w:rPr>
          <w:rFonts w:ascii="Times New Roman" w:hAnsi="Times New Roman"/>
          <w:sz w:val="24"/>
          <w:szCs w:val="24"/>
        </w:rPr>
        <w:t xml:space="preserve">. Към настоящия момент 10 929 ученици са включени в практика, а успешно приключилите практиката ученици са 9 266. В проект „Ученически практики“ са включени 371 училища. Учителите, които са ангажирани в изпълнението на дейностите, са 970, а 2594 наставници от бизнеса са подпомогнали обучението на учениците. </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МОН реализира проект „Студентски практики“, който е насочен към подобряване качеството на висшето образование чрез предоставяне на възможности за придобиване на практически опит и усъвършенстване на практическите умения на студентите в съответствие с потребностите на пазара на труда. Проектът е един от ефективните инструменти за справяне с младежката безработица. Възможностите по проекта са достъпни за всички над 250 000 студенти в българските висши училища, от които 59 170 ще могат да практикуват в работна среда.</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lang w:eastAsia="bg-BG"/>
        </w:rPr>
        <w:t xml:space="preserve">Практическото обучение на студентите е с продължителност 240 часа и съответства на изучаваната от студента специалност или професионално направление. Студентите изпълняват задачи, които са възложени от организацията-работодател по предварително разработена програма. При успешно приключила практика студентите получават стипендия в размер на 480 лв. Възнаграждение по проекта получават преподавателите от висшите училища, които следят за провеждането на практиката, менторите, които обучават студентите в организациите-работодатели и експертният персонал от висшите училища, който съдейства на студентите за провеждането на практиката. Възможности за провеждане на студентски практики предоставят държавни институции, общини, търговски дружества, обучителни организации, работодателски организации и други юридически лица със стопанска и нестопанска цел. </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lang w:eastAsia="bg-BG"/>
        </w:rPr>
        <w:t>Първите практики по проекта са стартирали на 17 юни 2013 г. Към настоящия момент над 3000 студенти са приключили успешно своята практика и получават стипендиите си. В уеб системата на проекта са регистрирани 35 792 студенти. Практическо обучение са започнали 10 212 студенти, а одобрените са 16 583. Техният брой се увеличава и е видим публично в уеб системата на проекта (</w:t>
      </w:r>
      <w:hyperlink r:id="rId7" w:history="1">
        <w:r w:rsidRPr="00294123">
          <w:rPr>
            <w:rFonts w:ascii="Times New Roman" w:hAnsi="Times New Roman"/>
            <w:color w:val="0000FF"/>
            <w:sz w:val="24"/>
            <w:szCs w:val="24"/>
            <w:u w:val="single"/>
            <w:lang w:eastAsia="bg-BG"/>
          </w:rPr>
          <w:t>http://praktiki.mon.bg/sp</w:t>
        </w:r>
      </w:hyperlink>
      <w:r w:rsidRPr="00294123">
        <w:rPr>
          <w:rFonts w:ascii="Times New Roman" w:hAnsi="Times New Roman"/>
          <w:sz w:val="24"/>
          <w:szCs w:val="24"/>
          <w:lang w:eastAsia="bg-BG"/>
        </w:rPr>
        <w:t xml:space="preserve">). Близо 7 000 работодатели са регистрирани в уеб платформата на проекта, като от тях 255 организации са с над 250 служители. Бюджетът на проекта е 50 млн. лв. </w:t>
      </w:r>
    </w:p>
    <w:p w:rsidR="004C19C0" w:rsidRPr="00294123" w:rsidRDefault="004C19C0" w:rsidP="004E26B7">
      <w:pPr>
        <w:ind w:firstLine="708"/>
        <w:jc w:val="both"/>
        <w:rPr>
          <w:rFonts w:ascii="Times New Roman" w:hAnsi="Times New Roman"/>
          <w:sz w:val="24"/>
          <w:szCs w:val="24"/>
          <w:lang w:eastAsia="bg-BG"/>
        </w:rPr>
      </w:pPr>
      <w:r w:rsidRPr="00294123">
        <w:rPr>
          <w:rFonts w:ascii="Times New Roman" w:hAnsi="Times New Roman"/>
          <w:sz w:val="24"/>
          <w:szCs w:val="24"/>
          <w:lang w:eastAsia="bg-BG"/>
        </w:rPr>
        <w:t>Националният център „Европейски младежки програми и инициативи“ (НЦЕМПИ) към Министерството на младежта и спорта насърчава, консултира, организира и координира участието на български младежки организации в програмата „Младежта в действие“ (2007-2013 г.) на ЕК, както и в Националната програма за младежта (2011-2015г.). Двете програми предоставят различни възможности за подкрепа на младежката заетост. Програмата „Младежта в действие” осигурява възможности за натрупване на знания и умения чрез неформално образование, в съответствие с приоритетите, заложени от ЕК. В кръга годишни приоритети за 2013 г. се включват и проекти, които подкрепят младежката заетост, а именно:</w:t>
      </w:r>
    </w:p>
    <w:p w:rsidR="004C19C0" w:rsidRPr="00294123" w:rsidRDefault="004C19C0" w:rsidP="004E26B7">
      <w:pPr>
        <w:numPr>
          <w:ilvl w:val="0"/>
          <w:numId w:val="4"/>
        </w:numPr>
        <w:jc w:val="both"/>
        <w:rPr>
          <w:rFonts w:ascii="Times New Roman" w:hAnsi="Times New Roman"/>
          <w:sz w:val="24"/>
          <w:szCs w:val="24"/>
          <w:lang w:eastAsia="bg-BG"/>
        </w:rPr>
      </w:pPr>
      <w:r w:rsidRPr="00294123">
        <w:rPr>
          <w:rFonts w:ascii="Times New Roman" w:hAnsi="Times New Roman"/>
          <w:sz w:val="24"/>
          <w:szCs w:val="24"/>
          <w:lang w:eastAsia="bg-BG"/>
        </w:rPr>
        <w:t>Проекти за справяне с проблема с младежката безработица, както и проекти, насочени към стимулиране на мобилността и активното участие на безработните млади хора в обществото;</w:t>
      </w:r>
    </w:p>
    <w:p w:rsidR="004C19C0" w:rsidRPr="00294123" w:rsidRDefault="004C19C0" w:rsidP="004E26B7">
      <w:pPr>
        <w:numPr>
          <w:ilvl w:val="0"/>
          <w:numId w:val="4"/>
        </w:numPr>
        <w:jc w:val="both"/>
        <w:rPr>
          <w:rFonts w:ascii="Times New Roman" w:hAnsi="Times New Roman"/>
          <w:sz w:val="24"/>
          <w:szCs w:val="24"/>
          <w:lang w:eastAsia="bg-BG"/>
        </w:rPr>
      </w:pPr>
      <w:r w:rsidRPr="00294123">
        <w:rPr>
          <w:rFonts w:ascii="Times New Roman" w:hAnsi="Times New Roman"/>
          <w:sz w:val="24"/>
          <w:szCs w:val="24"/>
          <w:lang w:eastAsia="bg-BG"/>
        </w:rPr>
        <w:t>Проекти, фокусирани върху темата за бедността и маргинализацията, насърчаващи информираността и ангажираността на младите хора за справяне с този проблем, за едно по-приобщаващо общество;</w:t>
      </w:r>
    </w:p>
    <w:p w:rsidR="004C19C0" w:rsidRPr="00294123" w:rsidRDefault="004C19C0" w:rsidP="004E26B7">
      <w:pPr>
        <w:numPr>
          <w:ilvl w:val="0"/>
          <w:numId w:val="4"/>
        </w:numPr>
        <w:jc w:val="both"/>
        <w:rPr>
          <w:rFonts w:ascii="Times New Roman" w:hAnsi="Times New Roman"/>
          <w:sz w:val="24"/>
          <w:szCs w:val="24"/>
          <w:lang w:eastAsia="bg-BG"/>
        </w:rPr>
      </w:pPr>
      <w:r w:rsidRPr="00294123">
        <w:rPr>
          <w:rFonts w:ascii="Times New Roman" w:hAnsi="Times New Roman"/>
          <w:sz w:val="24"/>
          <w:szCs w:val="24"/>
          <w:lang w:eastAsia="bg-BG"/>
        </w:rPr>
        <w:t>Проекти, стимулиращи инициативността, предприемачеството и пригодността за заетост на младите хора, чрез младежки инициативи.</w:t>
      </w:r>
    </w:p>
    <w:p w:rsidR="004C19C0" w:rsidRPr="00294123" w:rsidRDefault="004C19C0" w:rsidP="000E122E">
      <w:pPr>
        <w:ind w:firstLine="708"/>
        <w:jc w:val="both"/>
        <w:rPr>
          <w:rFonts w:ascii="Times New Roman" w:hAnsi="Times New Roman"/>
          <w:sz w:val="24"/>
          <w:szCs w:val="24"/>
          <w:lang w:eastAsia="bg-BG"/>
        </w:rPr>
      </w:pPr>
      <w:r w:rsidRPr="00294123">
        <w:rPr>
          <w:rFonts w:ascii="Times New Roman" w:hAnsi="Times New Roman"/>
          <w:sz w:val="24"/>
          <w:szCs w:val="24"/>
          <w:lang w:eastAsia="bg-BG"/>
        </w:rPr>
        <w:t>Към август 2013 г. по програмата „Младежта в действие” са финансирани 66 проекта по приоритета за справяне с проблема за безработицата сред младите хора, от които 43 са с приоритет „Креативност и предприемачество”. Проектите са на обща стойност 716 635 евро, а броят на участниците е 1110. Осем проекта на обща стойност 130 459 евро включват дейности, които с</w:t>
      </w:r>
      <w:r w:rsidRPr="00294123">
        <w:rPr>
          <w:rFonts w:ascii="Times New Roman" w:hAnsi="Times New Roman"/>
          <w:bCs/>
          <w:sz w:val="24"/>
          <w:szCs w:val="24"/>
          <w:lang w:eastAsia="bg-BG"/>
        </w:rPr>
        <w:t xml:space="preserve">а </w:t>
      </w:r>
      <w:r w:rsidRPr="00294123">
        <w:rPr>
          <w:rFonts w:ascii="Times New Roman" w:hAnsi="Times New Roman"/>
          <w:sz w:val="24"/>
          <w:szCs w:val="24"/>
          <w:lang w:eastAsia="bg-BG"/>
        </w:rPr>
        <w:t xml:space="preserve">пряко свързани с подкрепа за младежката заетост и предприемачество. В тях са включени 303 участници. </w:t>
      </w:r>
    </w:p>
    <w:p w:rsidR="004C19C0" w:rsidRPr="00294123" w:rsidRDefault="004C19C0" w:rsidP="000E122E">
      <w:pPr>
        <w:ind w:firstLine="708"/>
        <w:jc w:val="both"/>
        <w:rPr>
          <w:rFonts w:ascii="Times New Roman" w:hAnsi="Times New Roman"/>
          <w:sz w:val="24"/>
          <w:szCs w:val="24"/>
          <w:lang w:eastAsia="bg-BG"/>
        </w:rPr>
      </w:pPr>
      <w:r w:rsidRPr="00294123">
        <w:rPr>
          <w:rFonts w:ascii="Times New Roman" w:hAnsi="Times New Roman"/>
          <w:sz w:val="24"/>
          <w:szCs w:val="24"/>
          <w:lang w:eastAsia="bg-BG"/>
        </w:rPr>
        <w:t>По Националната програма за младежта (2011 – 2015 г.) със средства от държавния бюджет се финансират проекти на неправителствени организации, регистрирани в обществена полза, които осъществяват младежки дейности. В страната са изградени 31 Младежки информационно – консултантски центъра, които предоставят безплатно актуална информация и консултации. В рамките на Подпрограма 1 относно насърчаването на икономическата активност и кариерното развитие на младите хора, по данни на неправителствените организации през 2012 г. в тематични обучения са участвали 942 младежи до 29 години, наетите на работа са 230, самонаетите – 95, а стажантите – 336 младежи.</w:t>
      </w:r>
    </w:p>
    <w:p w:rsidR="004C19C0" w:rsidRPr="00294123" w:rsidRDefault="004C19C0" w:rsidP="000E122E">
      <w:pPr>
        <w:ind w:firstLine="708"/>
        <w:jc w:val="both"/>
        <w:rPr>
          <w:rFonts w:ascii="Times New Roman" w:hAnsi="Times New Roman"/>
          <w:sz w:val="24"/>
          <w:szCs w:val="24"/>
          <w:lang w:eastAsia="bg-BG"/>
        </w:rPr>
      </w:pPr>
      <w:r w:rsidRPr="00294123">
        <w:rPr>
          <w:rFonts w:ascii="Times New Roman" w:hAnsi="Times New Roman"/>
          <w:sz w:val="24"/>
          <w:szCs w:val="24"/>
          <w:lang w:eastAsia="bg-BG"/>
        </w:rPr>
        <w:t>През месец декември 2012 г. са финансирани 15 проектни предложения по Подпрограма 2: „Национални младежки инициативи и кампании“, на тема: „Младите хора на пазара на труда“. Дейностите на проектите са насочени към: повишаване мотивацията на младите хора за личностно развитие и придобиване на допълнителни компетенции чрез неформално образование; формиране на умения на младите хора за представяне пред работодатели в процеса на търсене на работа; анализ на предизвикателствата пред младите хора на пазара на труда, създаване на партньорства и разработване на конкретни мерки с цел насърчаване на младежката заетост в регионите; реализиране на кампании за насърчаване на младежката заетост на местно и регионално ниво. Финансирани са  проекти на организации от: София, Хасково, Горна Оряховица, Елхово, Смолян и с. Мокреш, област Монтана. Срокът на изпълнение на проектите е от 1 януари до 30 август 2013 г. Съгласно постъпилите отчетни данни към настоящия момент, в проектите са включени 4 891 младежи на възраст между 15 и 29 години, издадени са 34 вида информационни материали, проведени са 7 информационни кампании.</w:t>
      </w:r>
    </w:p>
    <w:p w:rsidR="004C19C0" w:rsidRPr="00294123" w:rsidRDefault="004C19C0" w:rsidP="000E122E">
      <w:pPr>
        <w:ind w:firstLine="708"/>
        <w:jc w:val="both"/>
        <w:rPr>
          <w:rFonts w:ascii="Times New Roman" w:hAnsi="Times New Roman"/>
          <w:sz w:val="24"/>
          <w:szCs w:val="24"/>
          <w:lang w:eastAsia="bg-BG"/>
        </w:rPr>
      </w:pPr>
      <w:r w:rsidRPr="00294123">
        <w:rPr>
          <w:rFonts w:ascii="Times New Roman" w:hAnsi="Times New Roman"/>
          <w:sz w:val="24"/>
          <w:szCs w:val="24"/>
          <w:lang w:eastAsia="bg-BG"/>
        </w:rPr>
        <w:t>През Европейската младежка седмица (26 май- 2 юни 2013 г.) е стартиран от ЕК обновения Европейски младежки портал. Сайтът предоставя информация, свързана с Младежката стратегия на ЕС, публикува обширни статии по определени теми, кратки новини и информация за събития в ЕС, касаещи младежите. Информацията в портала е разпределена на две нива: европейско, достъпно на всички официални езици на ЕС и национално - ориентирано към младежите от отделните държави-членки. Националното съдържание  се разработва от НЦЕМПИ. Една от основните теми е „Заетост и предприемачество”. Порталът е полезен инструмент за повишаване на осведомеността на младите хора относно възможности на ЕС в тази област.</w:t>
      </w:r>
    </w:p>
    <w:p w:rsidR="004C19C0" w:rsidRPr="00294123" w:rsidRDefault="004C19C0" w:rsidP="000E122E">
      <w:pPr>
        <w:ind w:firstLine="708"/>
        <w:jc w:val="both"/>
        <w:rPr>
          <w:rFonts w:ascii="Times New Roman" w:hAnsi="Times New Roman"/>
          <w:sz w:val="24"/>
          <w:szCs w:val="24"/>
          <w:lang w:eastAsia="bg-BG"/>
        </w:rPr>
      </w:pPr>
      <w:r w:rsidRPr="00294123">
        <w:rPr>
          <w:rFonts w:ascii="Times New Roman" w:hAnsi="Times New Roman"/>
          <w:sz w:val="24"/>
          <w:szCs w:val="24"/>
          <w:lang w:eastAsia="bg-BG"/>
        </w:rPr>
        <w:t>Чрез мрежата Евродеск НЦЕМПИ разпространява безплатна и подробна информация за възможностите, които Европейският съюз предоставя на младите хора в Европа. Популяризират се и мерки и инструменти за насърчаване на заетостта на европейско ниво, като порталът EURES, инициативата „Моята първа EURES работа” и др.</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 xml:space="preserve">Социалните партньори имат важна роля в изпълнението на мерки, насочени към повишаване конкурентоспособността на младите хора на пазара на труда. Асоциацията на индустриалния капитал в България (АИКБ) активно участва в изпълнението на Националната инициатива „Работа на младите хора в България“ 2012-2013 г. В проекти на асоциацията и на нейни членове за повишаване на адаптивността на работната сила в обучение са включени 1544 младежи. </w:t>
      </w:r>
      <w:r w:rsidRPr="00294123">
        <w:rPr>
          <w:rFonts w:ascii="Times New Roman" w:hAnsi="Times New Roman"/>
          <w:sz w:val="28"/>
          <w:szCs w:val="24"/>
        </w:rPr>
        <w:t>Е</w:t>
      </w:r>
      <w:r w:rsidRPr="00294123">
        <w:rPr>
          <w:rFonts w:ascii="Times New Roman" w:hAnsi="Times New Roman"/>
          <w:sz w:val="24"/>
          <w:szCs w:val="24"/>
        </w:rPr>
        <w:t xml:space="preserve">динадесет безработни младежи, които желаят да развиват собствен бизнес, са обучени от АИКБ Консулт ЕООД по проект „Подкрепа за предприемчивите българи“ на ОП РЧР. С цел превенция и борба с неформалната икономика по проект „Повишаване гъвкавостта и ефективността на пазара на труда чрез активни действия на социалните партньори“ на ОП РЧР са обучени 1343 младежи, от които 448 чрез дистанционно обучение, а 895 – чрез присъствено обучение. Възможности за стажуване на 43-ма образовани младежи без професионален опит са осигурени от организации и фирми, които членуват в АИКБ, по условията на проект „Ново начало – от образование към заетост“. По схемата „Първа работа“ са подпомогнати 10 безработни младежи до 29 години, чрез включване в обучение и заетост. В стажантски програми на компании са включени 193-ма младежи. Целта е младите хора да придобият практически умения в работна среда и да се подкрепят при старта на професионалната си кариера. </w:t>
      </w:r>
    </w:p>
    <w:p w:rsidR="004C19C0" w:rsidRPr="00294123" w:rsidRDefault="004C19C0" w:rsidP="005307BC">
      <w:pPr>
        <w:ind w:firstLine="708"/>
        <w:jc w:val="both"/>
        <w:rPr>
          <w:rFonts w:ascii="Times New Roman" w:hAnsi="Times New Roman"/>
          <w:sz w:val="24"/>
          <w:szCs w:val="24"/>
        </w:rPr>
      </w:pPr>
      <w:r w:rsidRPr="00294123">
        <w:rPr>
          <w:rFonts w:ascii="Times New Roman" w:hAnsi="Times New Roman"/>
          <w:sz w:val="24"/>
          <w:szCs w:val="24"/>
        </w:rPr>
        <w:t>В рамките на изпълнявания от БСК международен проект „CEE YOUTH – В подкрепа на младежката заетост в Централна и Източна Европа“ се предвижда през октомври 2013 г. да бъдат проведени два семинара с участието на лектори от „Филипс“ (Австрия) и „Хенкел“ (Централна и Източна Европа). По време на семинарите ще бъде представен опитът на тези две компании в дуалната система на обучение и нейните предимства за преодоляване на младежката безработица. Проектът се реализира в партньорство с работодателски организации и организации на работници и служители от Австрия, Унгария, Словакия, Словения и Черна гора и се финансира от Програма „Индустриални отношения и социален диалог“ на ЕК. Чрез реализацията на проекта се цели: повишаването на информираността на работодателите и работниците относно предимствата при наемане на работа на млади хора; подпомагане на социалните партньори от Централна и Източна Европа при създаване на условия за повече и по-добри контакти за стажуване и чиракуване; подпомагане на социалните партньори при намиране на най-добрите практики за откриване на пречките за наемане на млади хора и тяхното преодоляване; насърчаване на работодателите да предлагат възможности за придобиване на професионален опит, стажуване, чиракуване и др. Изпълнението на проекта стартира на 01.12.2012 г. и се предвижда да приключи на 30.11.2013 г.</w:t>
      </w:r>
    </w:p>
    <w:p w:rsidR="004C19C0" w:rsidRPr="00294123" w:rsidRDefault="004C19C0" w:rsidP="00A409B4">
      <w:pPr>
        <w:ind w:firstLine="708"/>
        <w:jc w:val="both"/>
        <w:rPr>
          <w:rFonts w:ascii="Times New Roman" w:hAnsi="Times New Roman"/>
          <w:sz w:val="24"/>
          <w:szCs w:val="24"/>
        </w:rPr>
      </w:pPr>
      <w:r w:rsidRPr="00294123">
        <w:rPr>
          <w:rFonts w:ascii="Times New Roman" w:hAnsi="Times New Roman"/>
          <w:sz w:val="24"/>
          <w:szCs w:val="24"/>
        </w:rPr>
        <w:t>Българска стопанска камара участва също така в работна група за разработване на Национален план за изпълнение на „Гаранцията за младежта“. На вниманието на работната група са предоставени конкретни предложения за включване на мерки в областта на младежката политика. БСК реализира проект „Разработване и внедряване на Информационна система за оценка на компетенциите на работната сила по браншове и региони“ по ОП РЧР. В рамките на проекта са организирани и проведени обучения на над 500 младежи до 29 години в различни направления, сред които „Ключови компетенции" и специализирани обучения за целите на проекта, като „Мотивация за професионална реализация като оценител на компетенции". Обученията са допринесли за повишаване на конкурентоспособността на младите хора на пазара на труда и са подпомогнали тяхната професионална реализация. БСК работи активно по програми и проекти по ОП РЧР за обучение и заетост, сред които: схема „Аз мога повече“, проект „Ново начало – от образование към заетост“, схема „Повишаване ефективността и гъвкавостта на пазара на труда чрез активни действия на социалните партньори“. Голям брой лица са преминали обучения по различни ключови компетенции, предоставени са и възможности за стажуване.</w:t>
      </w:r>
    </w:p>
    <w:p w:rsidR="004C19C0" w:rsidRPr="00294123" w:rsidRDefault="004C19C0" w:rsidP="000E122E">
      <w:pPr>
        <w:ind w:firstLine="708"/>
        <w:jc w:val="both"/>
        <w:rPr>
          <w:rFonts w:ascii="Times New Roman" w:hAnsi="Times New Roman"/>
          <w:b/>
          <w:sz w:val="24"/>
          <w:szCs w:val="24"/>
        </w:rPr>
      </w:pPr>
    </w:p>
    <w:p w:rsidR="004C19C0" w:rsidRPr="00294123" w:rsidRDefault="004C19C0" w:rsidP="000E122E">
      <w:pPr>
        <w:ind w:firstLine="708"/>
        <w:jc w:val="both"/>
        <w:rPr>
          <w:rFonts w:ascii="Times New Roman" w:hAnsi="Times New Roman"/>
          <w:b/>
          <w:sz w:val="24"/>
          <w:szCs w:val="24"/>
        </w:rPr>
      </w:pPr>
      <w:r w:rsidRPr="00294123">
        <w:rPr>
          <w:rFonts w:ascii="Times New Roman" w:hAnsi="Times New Roman"/>
          <w:b/>
          <w:sz w:val="24"/>
          <w:szCs w:val="24"/>
        </w:rPr>
        <w:t>3. Подкрепа при прехода от образование към заетост, осигуряване на първа работа и повишаване на заетостта;</w:t>
      </w:r>
    </w:p>
    <w:p w:rsidR="004C19C0" w:rsidRPr="00294123" w:rsidRDefault="004C19C0" w:rsidP="000E122E">
      <w:pPr>
        <w:ind w:firstLine="708"/>
        <w:jc w:val="both"/>
        <w:rPr>
          <w:rFonts w:ascii="Times New Roman" w:hAnsi="Times New Roman"/>
          <w:b/>
          <w:sz w:val="24"/>
          <w:szCs w:val="24"/>
        </w:rPr>
      </w:pPr>
      <w:r w:rsidRPr="00294123">
        <w:rPr>
          <w:rFonts w:ascii="Times New Roman" w:hAnsi="Times New Roman"/>
          <w:sz w:val="24"/>
          <w:szCs w:val="24"/>
          <w:lang w:eastAsia="bg-BG"/>
        </w:rPr>
        <w:t>Преходът от образование към първа работа е важен момент в живота на младежите, тъй като определя перспективите за професионално развитие, потенциала за доходи и социално положение в дългосрочен план.</w:t>
      </w:r>
      <w:r w:rsidRPr="00294123">
        <w:rPr>
          <w:rFonts w:ascii="Times New Roman" w:hAnsi="Times New Roman"/>
          <w:b/>
          <w:sz w:val="24"/>
          <w:szCs w:val="24"/>
        </w:rPr>
        <w:t xml:space="preserve"> По данни на АЗ през периода януари-август 2013 г. 28 310 младежи са започнали работа на първичния пазар</w:t>
      </w:r>
      <w:r w:rsidRPr="00294123">
        <w:rPr>
          <w:rFonts w:ascii="Times New Roman" w:hAnsi="Times New Roman"/>
          <w:sz w:val="24"/>
          <w:szCs w:val="24"/>
        </w:rPr>
        <w:t xml:space="preserve">, от тях с посредничеството на бюрата по труда – 20 597. За периода от началото на 2012 г. до настоящия момент постъпилите на работа на първичния пазар младежи са 57 096, от тях със съдействието на бюрата по труда – 38 474. </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През месец август започналите работа младежи до 29 г. на първичния пазар, по програми и мерки за заетост и по схеми на ОП РЧР представляват 24.6% от всички постъпили на работа безработни лица (при дял на младежите от всички регистрирани безработни – 20.2%). През периода януари-август на 2013г. относителният дял на започналите работа младежи от всички започнали работа безработни е 24%.</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 xml:space="preserve">Добра практика на Агенцията по заетостта (АЗ) е организирането на специализирани трудови борси за младежи, чрез които се осъществява пряк контакт с работодателите, насърчава се мобилността и трудовата реализация на младите хора. Чрез тях се привличат обезкуражените и неактивните лица и се стимулира участието им на трудовия пазар. През периода януари – август 2013 г. са проведени 28 младежки трудови борси. От началото на  2012 г. са проведени 68 специализирани младежки трудови борси, в които са участвали 9861 търсещи работа младежи, обявени са 6040 работни места и в резултат 3502 младежи са започнали работа на първичния пазар. </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Младежите се включват във всички програми и мерки за заетост и обучение по ЗНЗ и в проекти, финансирани по ОП РЧР. За тях се реализират и целеви програми, проекти и мерки, които са съобразени с трудностите, които те срещат на пазара на труда. Броят на младежите до 29-годишна възраст, нововключени през периода януари – август 2013 г. в заетост и обучение по програми и насърчителни мерки, е 10 245. От началото на 2012 г. до края на месец август 2013 г. в активна политика на пазара на труда, финансирана със средства от държавния бюджет, са включени 19 597 младежи. В програми за заетост и обучение през периода януари – август 2013 г. са включени 6992  безработни младежи, а от началото на 2012 г. – 14 309.</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Придобиването на начален професионален опит от младите хора с висше образование е важно условие за участието им на пазара на труда. За улесняване на прехода от образование към заетост АЗ успешно реализира програмата „Старт на кариерата”, която осигурява възможност на младежи със завършено висше образование до 29-годишна възраст в рамките на 9 месеца да придобият трудов опит по своята специалност чрез работа в публичната администрация. Програмата създава предпоставки и за последваща заетост. Работните места се разкриват в министерства, ведомства, агенции и териториални поделения, както и в областни и общински администрации. През периода януари – август 2013 г. по програмата е осигурена заетост на 719 младежи. Изразходвани са 2 331 339 лв. В рамките на Процедура 2013 г. в бюрата по труда документи за участие са подали 3433 кандидати за 2256 работни места. От началото на 2012 г. по програмата е осигурена заетост на 2569 младежи.</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В стажуване общо по НПДЗ 2013 г. и ОП РЧР са включени 9 999 младежи. От тях 599 са по условията на насърчителната мярка, регламентирана в чл.41 от ЗНЗ, 9165 – в схемата „Създаване на заетост на младежите чрез осигуряване на възможност за стаж” и 235 – в проект „Старт в администрацията” по ОП РЧР. За младежите с основно или по-ниско образование и без квалификация се осигуряват възможности за чиракуване на работното място под ръководството на наставник. През периода януари-август 2013 г. по насърчителната мярка (чл. 55 г от ЗНЗ) са включени 18 младежи до 29 години, а от началото на 2012 г. - 71  младежи.</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В насърчителни мерки по ЗНЗ през периода януари - август 2013 г. са включени 3253  младежи, а от началото на 2012 г. – 5288 лица. Със средства от държавния бюджет се субсидират освен разходите за социални осигуровки за сметка на работодателя и разходите за трудови възнаграждения на наетите младежи (чл.36, ал.1 от ЗНЗ). В изпълнение на тази мярка работодателите разкриват и запазват работни места, на които наемат безработни младежи за период не по-малък от 12 месеца. През периода януари-август 2013 г. по мярката е осигурена заетост на 3016 младежи, от които 2293 са включени през 2013 г. Изразходвани са 3 085 463 лв. От началото на 2012 г. до края на август 2013 г. е осигурена заетост на 4878 лица.</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За стимулиране на работодателите да разкриват работни места, на които да наемат безработни младежи до 29-годишна възраст с трайни увреждания, включително военноинвалиди и младежи от социални заведения, завършили образованието си, от държавния бюджет се предоставят средства за трудово възнаграждение, социални и здравни осигуровки за период не по-дълъг от 6 месеца (чл.36, ал.2 от ЗНЗ). През периода януари - август 2013 г. по мярката е осигурена заетост на 108 младежи. Изразходвани са 106117 лв. От началото на 2012 г. до края на август 2013 г. е осигурена заетост на 304 младежи.</w:t>
      </w:r>
    </w:p>
    <w:p w:rsidR="004C19C0" w:rsidRPr="00294123" w:rsidRDefault="004C19C0" w:rsidP="000E122E">
      <w:pPr>
        <w:jc w:val="both"/>
        <w:rPr>
          <w:rFonts w:ascii="Times New Roman" w:hAnsi="Times New Roman"/>
          <w:sz w:val="24"/>
          <w:szCs w:val="24"/>
          <w:highlight w:val="yellow"/>
        </w:rPr>
      </w:pPr>
      <w:r w:rsidRPr="00294123">
        <w:rPr>
          <w:rFonts w:ascii="Times New Roman" w:hAnsi="Times New Roman"/>
          <w:b/>
          <w:sz w:val="24"/>
          <w:szCs w:val="24"/>
        </w:rPr>
        <w:tab/>
      </w:r>
      <w:r w:rsidRPr="00294123">
        <w:rPr>
          <w:rFonts w:ascii="Times New Roman" w:hAnsi="Times New Roman"/>
          <w:sz w:val="24"/>
          <w:szCs w:val="24"/>
        </w:rPr>
        <w:t>Основен проблем при осигуряването на заетост на младежите е липсата на професионален опит, важен за работодателите за пълноценно включване в работния процес и честото разминаване между придобитите от младежите образование и професионална квалификация и потребностите на работодателите. Държавата насърчава работодателите да разкриват работни места за стажуване на младежи без работа. Съгласно чл. 41 от ЗНЗ се осигурява стаж за срок не повече от 6 месеца на безработни лица до 29-годишна възраст, придобили през последните 24 месеца квалификация по професия или част от професия, изисквана за заеманата длъжност, които не притежават трудов стаж по тази професия. През 2013 г. е осигурена заетост на 599 лица, като общо по мярката от началото на 2012 г. до август 2013 г. е осигурена заетост на 1021 младежи. През 2013г. са изразходвани 519 310 лв.</w:t>
      </w:r>
    </w:p>
    <w:p w:rsidR="004C19C0" w:rsidRPr="00294123" w:rsidRDefault="004C19C0" w:rsidP="000E122E">
      <w:pPr>
        <w:jc w:val="both"/>
        <w:rPr>
          <w:rFonts w:ascii="Times New Roman" w:hAnsi="Times New Roman"/>
          <w:b/>
          <w:sz w:val="24"/>
          <w:szCs w:val="24"/>
          <w:u w:val="single"/>
        </w:rPr>
      </w:pPr>
      <w:r w:rsidRPr="00294123">
        <w:rPr>
          <w:rFonts w:ascii="Times New Roman" w:hAnsi="Times New Roman"/>
          <w:sz w:val="24"/>
          <w:szCs w:val="24"/>
        </w:rPr>
        <w:tab/>
        <w:t>Със средства от Европейския социален фонд чрез ОП РЧР се осигурява широк спектър от услуги и стимули за младите хора. Насърчава се обучението и заетостта, подпомага се стартирането на собствен бизнес, подпомага се териториалната мобилност, осигуряват се безплатни услуги за отглеждане на малки деца за младите семейства</w:t>
      </w:r>
      <w:r w:rsidRPr="00294123">
        <w:rPr>
          <w:rFonts w:ascii="Times New Roman" w:hAnsi="Times New Roman"/>
          <w:b/>
          <w:sz w:val="24"/>
          <w:szCs w:val="24"/>
        </w:rPr>
        <w:t>. От началото на проектите по ОП РЧР до края на месец август 2013 г. в обучение и заетост, стажуване и консултиране са включени 96 094 младежи, в т.ч. в обучение – близо 71 585, в стажуване, в заетост и в заетост след обучение – 23 617 и в консултиране  - 892 младежи.</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Схемата „Създаване на заетост на младежите чрез осигуряване на възможност за стаж“ (Проект „Ново начало - от образование към заетост“) предоставя възможност на младежи до 29-годишна възраст, завършили средно или висше образование да стажуват при работодатели от частния сектор или в структурите на държавната администрация, общини и общински предприятия на позиция (длъжност), която съответства на придобитото образование. Младежите придобиват професионален опит и стават по- конкурентоспособни на пазара на труда. Схемата е с продължителност 34 месеца и се реализира на територията на цялата страна. Към 28.08.2013 г. в заетост са включени 9165 младежи и са изразходвани 26 494 560 лв.</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Схемата „Подкрепа за институционалното изграждане на институциите на пазара на труда, социалното включване и здравеопазването” (проект „Старт в администрацията”) по ОП РЧР прилага и развива успешния подход на програмата „Старт в кариерата”. Схемата осигурява възможност за стажуване на безработни младежи с ниски шансове за реализация на пазара на труда, в т.ч. безработни младежи с увреждания, безработни младежи от етнически групи, самотни родители, родители на малки деца и др. МТСП, Министерството на здравеопазването (МЗ) и второстепенните разпоредители с бюджетни кредити (ВРБК) към министъра на труда и социалната политика и министъра на здравеопазването наемат безработни младежи със завършено висше образование, но без стаж по специалността, за 9-месечни стажове в звената от специализираната администрация. Проектът „Старт в администрацията” се реализира на територията на цялата страна и е с продължителност до 31 октомври 2014 г. Наети са общо 235 стажанти, които работят на длъжност „младши експерт” в администрациите в МЗ и МТСП. Изплатени са 241 485 лв.</w:t>
      </w:r>
    </w:p>
    <w:p w:rsidR="004C19C0" w:rsidRPr="00294123" w:rsidRDefault="004C19C0" w:rsidP="00620BBD">
      <w:pPr>
        <w:ind w:firstLine="708"/>
        <w:jc w:val="both"/>
        <w:rPr>
          <w:rFonts w:ascii="Times New Roman" w:hAnsi="Times New Roman"/>
          <w:sz w:val="24"/>
          <w:szCs w:val="24"/>
        </w:rPr>
      </w:pPr>
      <w:r w:rsidRPr="00294123">
        <w:rPr>
          <w:rFonts w:ascii="Times New Roman" w:hAnsi="Times New Roman"/>
          <w:sz w:val="24"/>
          <w:szCs w:val="24"/>
        </w:rPr>
        <w:t>Схемата „Първа работа” с бюджет от 20 млн. лв. има за цел да осигури заетост на безработни лица до 29-годишна възраст. По схемата се предоставят средства на работодателите за обучение, заплати на наетите лица според минималните прагове за длъжностите и осигуровки (от 6 до 12 месеца), транспортни разходи. Към 28.08.2013 г. в схемата са включени 4321 младежи, в т.ч. в обучение – 2263 и в заетост – 2058 безработни младежи. Изплатени са 5 336 102 лв.</w:t>
      </w:r>
    </w:p>
    <w:p w:rsidR="004C19C0" w:rsidRPr="00294123" w:rsidRDefault="004C19C0" w:rsidP="009A1A45">
      <w:pPr>
        <w:ind w:firstLine="708"/>
        <w:jc w:val="both"/>
        <w:rPr>
          <w:rFonts w:ascii="Times New Roman" w:hAnsi="Times New Roman"/>
          <w:sz w:val="24"/>
          <w:szCs w:val="24"/>
        </w:rPr>
      </w:pPr>
      <w:r w:rsidRPr="00294123">
        <w:rPr>
          <w:rFonts w:ascii="Times New Roman" w:hAnsi="Times New Roman"/>
          <w:sz w:val="24"/>
          <w:szCs w:val="24"/>
        </w:rPr>
        <w:t>Схемата „Ново работно място” също стимулира работодателите да наемат безработни младежи, като осигурява освен разходи за труд и подкрепа за инвестиционни разходи, свързани със създаването на нови работни места. Младежите се включват в професионално обучение и/или обучение по ключови компетентности. Средства за покриване разходите за труд се предоставят на работодатели, разкрили работно място и наели безработен младеж, успешно завършил обучението. Новото в схемата е инвестиционното подпомагане на работодателите за закупуване на оборудване и обзавеждане за създаването на нови работни места за младежи. Размерът на тези разходи е до 40% от стойността на проектите. Участието е на проектен принцип, като минималният размер на помощта е 20 000 лв., а максималният размер- 390 000 лв. Планирано е 1 300 младежи да бъдат включени в обучение за придобиване или повишаване на професионалната си квалификация, 900 младежи - в обучение за придобиване на ключови компетентности и 2000 младежи - в заетост след обучението. Към настоящия момент са оценени подадените 527 проектни предложения от работодатели.</w:t>
      </w:r>
    </w:p>
    <w:p w:rsidR="004C19C0" w:rsidRPr="00294123" w:rsidRDefault="004C19C0" w:rsidP="009A1A45">
      <w:pPr>
        <w:ind w:firstLine="708"/>
        <w:jc w:val="both"/>
        <w:rPr>
          <w:rFonts w:ascii="Times New Roman" w:hAnsi="Times New Roman"/>
          <w:sz w:val="24"/>
          <w:szCs w:val="24"/>
        </w:rPr>
      </w:pPr>
      <w:r w:rsidRPr="00294123">
        <w:rPr>
          <w:rFonts w:ascii="Times New Roman" w:hAnsi="Times New Roman"/>
          <w:sz w:val="24"/>
          <w:szCs w:val="24"/>
        </w:rPr>
        <w:t>През месец февруари 2013 г. в рамките на Проект „Ново начало – от образование към заетост” по ОП РЧР са осигурени възможности за стажуване на 13 младежи до 29 години в КНСБ. Под ръководството на наставници младежите са участвали в процеса на работа в различните направления на КНСБ и са придобили трудови навици. В средата на август, след приключване на субсидираната заетост, на работа в централата на КНСБ са назначени 7 от 13-те стажанта.</w:t>
      </w:r>
    </w:p>
    <w:p w:rsidR="004C19C0" w:rsidRPr="00294123" w:rsidRDefault="004C19C0" w:rsidP="008B22A6">
      <w:pPr>
        <w:ind w:firstLine="708"/>
        <w:jc w:val="both"/>
        <w:rPr>
          <w:rFonts w:ascii="Times New Roman" w:hAnsi="Times New Roman"/>
          <w:sz w:val="24"/>
          <w:szCs w:val="24"/>
        </w:rPr>
      </w:pPr>
      <w:r w:rsidRPr="00294123">
        <w:rPr>
          <w:rFonts w:ascii="Times New Roman" w:hAnsi="Times New Roman"/>
          <w:sz w:val="24"/>
          <w:szCs w:val="24"/>
        </w:rPr>
        <w:t xml:space="preserve">Министерството на икономиката и енергетиката (МИЕ) е активен участник в реализацията на Националната инициатива „Работа за младите хора в България“. През периода 01.11.2012 г. - 31.07.2013 г. по реда и условията на Програмата „Старт на кариерата“ в МИЕ са наети общо 27 младежи след проведени интервюта и извършен подбор на кандидатите. През 2012 г. 63-ма студенти са провели краткосрочни стажове по споразумения с висши учебни заведения (СУ „Св. Кл. Охридски“, Технически университет София, УНСС, Нов български университет). В подкрепа на младите хора МИЕ реализира собствена стажантска програма. Целта на програмата е да се осигури възможност за достъп до реалната работна среда в администрацията на МИЕ на студенти (стажанти) с подходяща квалификация и интереси. За участие в програмата могат да кандидатстват максимално широк кръг младежи, включително и извън страната, чрез разработен on-line формуляр. По тази програма през 2012 г. са кандидатствали общо 716 студенти, от които 49 са провели стаж. </w:t>
      </w:r>
    </w:p>
    <w:p w:rsidR="004C19C0" w:rsidRPr="00294123" w:rsidRDefault="004C19C0" w:rsidP="00010558">
      <w:pPr>
        <w:ind w:firstLine="708"/>
        <w:jc w:val="both"/>
        <w:rPr>
          <w:rFonts w:ascii="Times New Roman" w:hAnsi="Times New Roman"/>
          <w:sz w:val="24"/>
          <w:szCs w:val="24"/>
        </w:rPr>
      </w:pPr>
      <w:r w:rsidRPr="00294123">
        <w:rPr>
          <w:rFonts w:ascii="Times New Roman" w:hAnsi="Times New Roman"/>
          <w:sz w:val="24"/>
          <w:szCs w:val="24"/>
        </w:rPr>
        <w:t xml:space="preserve">През 2013 г. е разработена и утвърдена Инструкция за прием на студенти за провеждане на студентски стажове в МИЕ. Въз основа на потребностите на дирекциите са определени 52 работни места за провеждане на летни стажове през периода 15 април - 30 септември 2013 г. Към 31.08.2013 г. са стажували 15 студенти. </w:t>
      </w:r>
    </w:p>
    <w:p w:rsidR="004C19C0" w:rsidRPr="00294123" w:rsidRDefault="004C19C0" w:rsidP="00E214FD">
      <w:pPr>
        <w:ind w:firstLine="708"/>
        <w:jc w:val="both"/>
        <w:rPr>
          <w:rFonts w:ascii="Times New Roman" w:hAnsi="Times New Roman"/>
          <w:sz w:val="24"/>
          <w:szCs w:val="24"/>
        </w:rPr>
      </w:pPr>
      <w:r w:rsidRPr="00294123">
        <w:rPr>
          <w:rFonts w:ascii="Times New Roman" w:hAnsi="Times New Roman"/>
          <w:sz w:val="24"/>
          <w:szCs w:val="24"/>
        </w:rPr>
        <w:t>В изпълнение на Мярка №10 „Създаване на центрове по предприемачество във висшите училища“ от Иновационната стратегия на Република България, МИЕ реализира проект „Създаване и развитие на Центровете за насърчаване на предприемачеството към ВУЗ в България“. По проекта са развити три съществуващи центъра по предприемачество: (ЛТУ- гр.София, ТУ- гр. Габрово, ТУ- гр. София, филиал гр. Пловдив) и един нов (ВУМК - гр.Добрич). В резултат на тяхната дейност са обучени 1314 студенти в предприемачески знания и умения, създадени са 15 фирми на студенти, преминали през обучение, предоставено от центровете за насърчаване на предприемачеството, подпомогнати са 67 студенти с награден фонд, в резултат на спечелени 12 конкурса по предприемачество, за да могат да стартират самостоятелен бизнес, издадени са 23 учебни помагала по предприемачество и др.</w:t>
      </w:r>
    </w:p>
    <w:p w:rsidR="004C19C0" w:rsidRPr="00294123" w:rsidRDefault="004C19C0" w:rsidP="00E438A6">
      <w:pPr>
        <w:ind w:firstLine="708"/>
        <w:jc w:val="both"/>
        <w:rPr>
          <w:rFonts w:ascii="Times New Roman" w:hAnsi="Times New Roman"/>
          <w:sz w:val="24"/>
          <w:szCs w:val="24"/>
        </w:rPr>
      </w:pPr>
      <w:r w:rsidRPr="00294123">
        <w:rPr>
          <w:rFonts w:ascii="Times New Roman" w:hAnsi="Times New Roman"/>
          <w:sz w:val="24"/>
          <w:szCs w:val="24"/>
        </w:rPr>
        <w:t>Инициатива „Брандико“ е проект на МИЕ, който ориентира младежите от средните училища в областта на защитата на интелектуалната собственост. През последните 3 години в проекта са участвали 101 учебно-тренировъчни фирми от професионалните гимназии в страната.</w:t>
      </w:r>
    </w:p>
    <w:p w:rsidR="004C19C0" w:rsidRPr="00294123" w:rsidRDefault="004C19C0" w:rsidP="00E438A6">
      <w:pPr>
        <w:ind w:firstLine="708"/>
        <w:jc w:val="both"/>
        <w:rPr>
          <w:rFonts w:ascii="Times New Roman" w:hAnsi="Times New Roman"/>
          <w:sz w:val="24"/>
          <w:szCs w:val="24"/>
        </w:rPr>
      </w:pPr>
      <w:r w:rsidRPr="00294123">
        <w:rPr>
          <w:rFonts w:ascii="Times New Roman" w:hAnsi="Times New Roman"/>
          <w:sz w:val="24"/>
          <w:szCs w:val="24"/>
        </w:rPr>
        <w:t>Инициативата „stARTs“ също е проект на МИЕ, който е насочен към училищата по изкуствата и цели подготовка по предприемачество на учениците, които ще реализират своя потенциал в творческите индустрии. Към настоящия момент учебните планове на училищата по изкуствата изключват бизнес подготовка. Проектът стартира със създаването на 10 учебно-тренировъчни фирми в 5 училища по изкуствата в страната.</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По информация от Министерството на околната среда и водите (МОСВ) през 2012 и 2013 г. по условията на различни програми са стажували 92 младежи, като за 2013 г. са заявени потребности от 12 работни места по условията на програмата „Старт на кариерата“. МОСВ е осигурило възможности за придобиване на професионален опит на младежи по програмата „Старт на кариерата“, проект „Ново начало – от образование към заетост“, проект „Създаване на капацитет за бъдещето – провеждане на студентски стажове в държавната администрация”, както и по правила на министерството.</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Секторът на селското стопанство е с потенциал за заетост на младите хора. Мярка 112 „Създаване на стопанства на млади фермери“ по „Програмата за развитие на селските райони“ 2007-2013 г. (ПРСР) предоставя възможности за подкрепа на проекти на млади фермери. Основно изискване към кандидатите е да са на възраст от 18 навършени до 40 ненавършени години към датата на подаване на заявлението за подпомагане. Максималният размер на финансовата помощ, която се отпуска на един кандидат за реализацията на проект по мярката възлиза на левовата равностойност на 25 000 евро. През 2012 г. по Мярка 112 от ПРСР са сключени 1325 договора на обща стойност 64 815 064 лв. Изплатени са средства в размер на 69 423 613,69 лв. на 2956 млади фермери. През 2013 г. продължава изпълнението на договорите, сключени през предходни периоди. С цел задържане на висококвалифициран щатен персонал и осигуряване на допълнителен персонал (извън щатния), при прилагането на Мярка 511 „Техническа помощ“ за нуждите на ПРСР са включени 85 младежи до 29-годишна възраст.</w:t>
      </w:r>
    </w:p>
    <w:p w:rsidR="004C19C0" w:rsidRPr="00294123" w:rsidRDefault="004C19C0" w:rsidP="000E122E">
      <w:pPr>
        <w:ind w:firstLine="708"/>
        <w:jc w:val="both"/>
        <w:rPr>
          <w:rFonts w:ascii="Times New Roman" w:hAnsi="Times New Roman"/>
          <w:sz w:val="24"/>
          <w:szCs w:val="24"/>
        </w:rPr>
      </w:pPr>
      <w:r w:rsidRPr="00294123">
        <w:rPr>
          <w:rFonts w:ascii="Times New Roman" w:hAnsi="Times New Roman"/>
          <w:sz w:val="24"/>
          <w:szCs w:val="24"/>
        </w:rPr>
        <w:t>Националната инициатива стартира през 2012 г., за да обедини и засили усилията на държавните институции и социалните партньори за реализиране на мерки, действия и законодателни промени, които да създадат перспективи за професионална реализация пред младите хора в България. Изпълнението на краткосрочната Национална инициатива е елемент от дългосрочните стратегически действия в политиката по заетостта. Партньорството между институциите и активната роля на социалните партньори са необходимост, за да бъдат успешни и бъдещите мерки в подкрепа на интеграцията на младежите на пазара на труда.</w:t>
      </w:r>
    </w:p>
    <w:p w:rsidR="004C19C0" w:rsidRPr="00294123" w:rsidRDefault="004C19C0" w:rsidP="000E122E">
      <w:pPr>
        <w:jc w:val="both"/>
        <w:rPr>
          <w:rFonts w:ascii="Times New Roman" w:hAnsi="Times New Roman"/>
          <w:sz w:val="24"/>
          <w:szCs w:val="24"/>
        </w:rPr>
      </w:pPr>
    </w:p>
    <w:p w:rsidR="004C19C0" w:rsidRPr="00294123" w:rsidRDefault="004C19C0" w:rsidP="000E122E">
      <w:pPr>
        <w:jc w:val="both"/>
        <w:rPr>
          <w:rFonts w:ascii="Times New Roman" w:hAnsi="Times New Roman"/>
          <w:sz w:val="24"/>
          <w:szCs w:val="24"/>
        </w:rPr>
      </w:pPr>
    </w:p>
    <w:sectPr w:rsidR="004C19C0" w:rsidRPr="00294123" w:rsidSect="00AE44BA">
      <w:footerReference w:type="default" r:id="rId8"/>
      <w:pgSz w:w="11906" w:h="16838"/>
      <w:pgMar w:top="1134" w:right="991" w:bottom="156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9C0" w:rsidRDefault="004C19C0" w:rsidP="00080A81">
      <w:pPr>
        <w:spacing w:after="0" w:line="240" w:lineRule="auto"/>
      </w:pPr>
      <w:r>
        <w:separator/>
      </w:r>
    </w:p>
  </w:endnote>
  <w:endnote w:type="continuationSeparator" w:id="0">
    <w:p w:rsidR="004C19C0" w:rsidRDefault="004C19C0" w:rsidP="00080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9C0" w:rsidRDefault="004C19C0">
    <w:pPr>
      <w:pStyle w:val="Footer"/>
      <w:jc w:val="right"/>
      <w:rPr>
        <w:rFonts w:ascii="Times New Roman" w:hAnsi="Times New Roman"/>
      </w:rPr>
    </w:pPr>
  </w:p>
  <w:p w:rsidR="004C19C0" w:rsidRPr="00D65970" w:rsidRDefault="004C19C0">
    <w:pPr>
      <w:pStyle w:val="Footer"/>
      <w:jc w:val="right"/>
      <w:rPr>
        <w:rFonts w:ascii="Times New Roman" w:hAnsi="Times New Roman"/>
      </w:rPr>
    </w:pPr>
    <w:r w:rsidRPr="00D65970">
      <w:rPr>
        <w:rFonts w:ascii="Times New Roman" w:hAnsi="Times New Roman"/>
      </w:rPr>
      <w:fldChar w:fldCharType="begin"/>
    </w:r>
    <w:r w:rsidRPr="00D65970">
      <w:rPr>
        <w:rFonts w:ascii="Times New Roman" w:hAnsi="Times New Roman"/>
      </w:rPr>
      <w:instrText xml:space="preserve"> PAGE   \* MERGEFORMAT </w:instrText>
    </w:r>
    <w:r w:rsidRPr="00D65970">
      <w:rPr>
        <w:rFonts w:ascii="Times New Roman" w:hAnsi="Times New Roman"/>
      </w:rPr>
      <w:fldChar w:fldCharType="separate"/>
    </w:r>
    <w:r>
      <w:rPr>
        <w:rFonts w:ascii="Times New Roman" w:hAnsi="Times New Roman"/>
        <w:noProof/>
      </w:rPr>
      <w:t>18</w:t>
    </w:r>
    <w:r w:rsidRPr="00D65970">
      <w:rPr>
        <w:rFonts w:ascii="Times New Roman" w:hAnsi="Times New Roman"/>
      </w:rPr>
      <w:fldChar w:fldCharType="end"/>
    </w:r>
  </w:p>
  <w:p w:rsidR="004C19C0" w:rsidRDefault="004C19C0">
    <w:pPr>
      <w:pStyle w:val="Footer"/>
    </w:pPr>
  </w:p>
  <w:p w:rsidR="004C19C0" w:rsidRDefault="004C1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9C0" w:rsidRDefault="004C19C0" w:rsidP="00080A81">
      <w:pPr>
        <w:spacing w:after="0" w:line="240" w:lineRule="auto"/>
      </w:pPr>
      <w:r>
        <w:separator/>
      </w:r>
    </w:p>
  </w:footnote>
  <w:footnote w:type="continuationSeparator" w:id="0">
    <w:p w:rsidR="004C19C0" w:rsidRDefault="004C19C0" w:rsidP="00080A81">
      <w:pPr>
        <w:spacing w:after="0" w:line="240" w:lineRule="auto"/>
      </w:pPr>
      <w:r>
        <w:continuationSeparator/>
      </w:r>
    </w:p>
  </w:footnote>
  <w:footnote w:id="1">
    <w:p w:rsidR="004C19C0" w:rsidRDefault="004C19C0" w:rsidP="00E53A2E">
      <w:pPr>
        <w:pStyle w:val="FootnoteText"/>
        <w:jc w:val="both"/>
      </w:pPr>
      <w:r>
        <w:rPr>
          <w:rStyle w:val="FootnoteReference"/>
        </w:rPr>
        <w:footnoteRef/>
      </w:r>
      <w:r w:rsidRPr="00E53A2E">
        <w:rPr>
          <w:rFonts w:ascii="Times New Roman" w:hAnsi="Times New Roman"/>
        </w:rPr>
        <w:t>Министерство на труда и социалната политика, Министерство на финансите, Министерство на младежта и спорта, Министерство на икономиката и енергетиката, Министерство на образованието и науката, Министерство на регионалното развитие, Министерство на околната среда и водите, Министерство на земеделието и храните, Министерство на транспорта, информационните технологии и съобщенията, Министерство на културата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0C4C"/>
    <w:multiLevelType w:val="hybridMultilevel"/>
    <w:tmpl w:val="A22CE3DA"/>
    <w:lvl w:ilvl="0" w:tplc="BE0A2224">
      <w:start w:val="1"/>
      <w:numFmt w:val="bullet"/>
      <w:lvlText w:val=""/>
      <w:lvlJc w:val="left"/>
      <w:pPr>
        <w:ind w:left="720" w:hanging="360"/>
      </w:pPr>
      <w:rPr>
        <w:rFonts w:ascii="Symbol" w:hAnsi="Symbol" w:hint="default"/>
        <w:sz w:val="20"/>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2A90B41"/>
    <w:multiLevelType w:val="hybridMultilevel"/>
    <w:tmpl w:val="FD1CB44A"/>
    <w:lvl w:ilvl="0" w:tplc="0520EF86">
      <w:start w:val="1"/>
      <w:numFmt w:val="bullet"/>
      <w:lvlText w:val=""/>
      <w:lvlJc w:val="left"/>
      <w:pPr>
        <w:ind w:left="720" w:hanging="360"/>
      </w:pPr>
      <w:rPr>
        <w:rFonts w:ascii="Symbol" w:hAnsi="Symbol" w:hint="default"/>
        <w:sz w:val="20"/>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8C57965"/>
    <w:multiLevelType w:val="hybridMultilevel"/>
    <w:tmpl w:val="0F104B70"/>
    <w:lvl w:ilvl="0" w:tplc="7134549C">
      <w:start w:val="1"/>
      <w:numFmt w:val="bullet"/>
      <w:lvlText w:val=""/>
      <w:lvlJc w:val="left"/>
      <w:pPr>
        <w:ind w:left="720" w:hanging="360"/>
      </w:pPr>
      <w:rPr>
        <w:rFonts w:ascii="Symbol" w:hAnsi="Symbol" w:hint="default"/>
        <w:sz w:val="20"/>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9886E87"/>
    <w:multiLevelType w:val="hybridMultilevel"/>
    <w:tmpl w:val="B2584F7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AEC5E22"/>
    <w:multiLevelType w:val="hybridMultilevel"/>
    <w:tmpl w:val="54583A0E"/>
    <w:lvl w:ilvl="0" w:tplc="881AECD2">
      <w:start w:val="1"/>
      <w:numFmt w:val="bullet"/>
      <w:lvlText w:val=""/>
      <w:lvlJc w:val="left"/>
      <w:pPr>
        <w:ind w:left="1428" w:hanging="360"/>
      </w:pPr>
      <w:rPr>
        <w:rFonts w:ascii="Symbol" w:hAnsi="Symbol" w:hint="default"/>
        <w:sz w:val="22"/>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nsid w:val="399B3FAA"/>
    <w:multiLevelType w:val="hybridMultilevel"/>
    <w:tmpl w:val="32AAECF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41C443DE"/>
    <w:multiLevelType w:val="hybridMultilevel"/>
    <w:tmpl w:val="2A902BB4"/>
    <w:lvl w:ilvl="0" w:tplc="11204BB2">
      <w:start w:val="1"/>
      <w:numFmt w:val="bullet"/>
      <w:lvlText w:val=""/>
      <w:lvlJc w:val="left"/>
      <w:pPr>
        <w:ind w:left="720" w:hanging="360"/>
      </w:pPr>
      <w:rPr>
        <w:rFonts w:ascii="Symbol" w:hAnsi="Symbol" w:hint="default"/>
        <w:sz w:val="20"/>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E6F4757"/>
    <w:multiLevelType w:val="hybridMultilevel"/>
    <w:tmpl w:val="6A84BEFE"/>
    <w:lvl w:ilvl="0" w:tplc="04020001">
      <w:start w:val="1"/>
      <w:numFmt w:val="bullet"/>
      <w:lvlText w:val=""/>
      <w:lvlJc w:val="left"/>
      <w:pPr>
        <w:ind w:left="1428" w:hanging="360"/>
      </w:pPr>
      <w:rPr>
        <w:rFonts w:ascii="Symbol" w:hAnsi="Symbol" w:hint="default"/>
      </w:rPr>
    </w:lvl>
    <w:lvl w:ilvl="1" w:tplc="04020003">
      <w:start w:val="1"/>
      <w:numFmt w:val="bullet"/>
      <w:lvlText w:val="o"/>
      <w:lvlJc w:val="left"/>
      <w:pPr>
        <w:ind w:left="2148" w:hanging="360"/>
      </w:pPr>
      <w:rPr>
        <w:rFonts w:ascii="Courier New" w:hAnsi="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hint="default"/>
      </w:rPr>
    </w:lvl>
    <w:lvl w:ilvl="8" w:tplc="04020005">
      <w:start w:val="1"/>
      <w:numFmt w:val="bullet"/>
      <w:lvlText w:val=""/>
      <w:lvlJc w:val="left"/>
      <w:pPr>
        <w:ind w:left="7188" w:hanging="360"/>
      </w:pPr>
      <w:rPr>
        <w:rFonts w:ascii="Wingdings" w:hAnsi="Wingdings" w:hint="default"/>
      </w:rPr>
    </w:lvl>
  </w:abstractNum>
  <w:abstractNum w:abstractNumId="8">
    <w:nsid w:val="5C723ACA"/>
    <w:multiLevelType w:val="hybridMultilevel"/>
    <w:tmpl w:val="7A3A6DE2"/>
    <w:lvl w:ilvl="0" w:tplc="8A0C7FE0">
      <w:start w:val="1"/>
      <w:numFmt w:val="bullet"/>
      <w:lvlText w:val=""/>
      <w:lvlJc w:val="left"/>
      <w:pPr>
        <w:ind w:left="1495" w:hanging="360"/>
      </w:pPr>
      <w:rPr>
        <w:rFonts w:ascii="Symbol" w:hAnsi="Symbol" w:hint="default"/>
        <w:color w:val="auto"/>
        <w:sz w:val="20"/>
      </w:rPr>
    </w:lvl>
    <w:lvl w:ilvl="1" w:tplc="04020003">
      <w:start w:val="1"/>
      <w:numFmt w:val="bullet"/>
      <w:lvlText w:val="o"/>
      <w:lvlJc w:val="left"/>
      <w:pPr>
        <w:ind w:left="2215" w:hanging="360"/>
      </w:pPr>
      <w:rPr>
        <w:rFonts w:ascii="Courier New" w:hAnsi="Courier New" w:hint="default"/>
      </w:rPr>
    </w:lvl>
    <w:lvl w:ilvl="2" w:tplc="04020005">
      <w:start w:val="1"/>
      <w:numFmt w:val="bullet"/>
      <w:lvlText w:val=""/>
      <w:lvlJc w:val="left"/>
      <w:pPr>
        <w:ind w:left="2935" w:hanging="360"/>
      </w:pPr>
      <w:rPr>
        <w:rFonts w:ascii="Wingdings" w:hAnsi="Wingdings" w:hint="default"/>
      </w:rPr>
    </w:lvl>
    <w:lvl w:ilvl="3" w:tplc="04020001">
      <w:start w:val="1"/>
      <w:numFmt w:val="bullet"/>
      <w:lvlText w:val=""/>
      <w:lvlJc w:val="left"/>
      <w:pPr>
        <w:ind w:left="3655" w:hanging="360"/>
      </w:pPr>
      <w:rPr>
        <w:rFonts w:ascii="Symbol" w:hAnsi="Symbol" w:hint="default"/>
      </w:rPr>
    </w:lvl>
    <w:lvl w:ilvl="4" w:tplc="04020003">
      <w:start w:val="1"/>
      <w:numFmt w:val="bullet"/>
      <w:lvlText w:val="o"/>
      <w:lvlJc w:val="left"/>
      <w:pPr>
        <w:ind w:left="4375" w:hanging="360"/>
      </w:pPr>
      <w:rPr>
        <w:rFonts w:ascii="Courier New" w:hAnsi="Courier New" w:hint="default"/>
      </w:rPr>
    </w:lvl>
    <w:lvl w:ilvl="5" w:tplc="04020005">
      <w:start w:val="1"/>
      <w:numFmt w:val="bullet"/>
      <w:lvlText w:val=""/>
      <w:lvlJc w:val="left"/>
      <w:pPr>
        <w:ind w:left="5095" w:hanging="360"/>
      </w:pPr>
      <w:rPr>
        <w:rFonts w:ascii="Wingdings" w:hAnsi="Wingdings" w:hint="default"/>
      </w:rPr>
    </w:lvl>
    <w:lvl w:ilvl="6" w:tplc="04020001">
      <w:start w:val="1"/>
      <w:numFmt w:val="bullet"/>
      <w:lvlText w:val=""/>
      <w:lvlJc w:val="left"/>
      <w:pPr>
        <w:ind w:left="5815" w:hanging="360"/>
      </w:pPr>
      <w:rPr>
        <w:rFonts w:ascii="Symbol" w:hAnsi="Symbol" w:hint="default"/>
      </w:rPr>
    </w:lvl>
    <w:lvl w:ilvl="7" w:tplc="04020003">
      <w:start w:val="1"/>
      <w:numFmt w:val="bullet"/>
      <w:lvlText w:val="o"/>
      <w:lvlJc w:val="left"/>
      <w:pPr>
        <w:ind w:left="6535" w:hanging="360"/>
      </w:pPr>
      <w:rPr>
        <w:rFonts w:ascii="Courier New" w:hAnsi="Courier New" w:hint="default"/>
      </w:rPr>
    </w:lvl>
    <w:lvl w:ilvl="8" w:tplc="04020005">
      <w:start w:val="1"/>
      <w:numFmt w:val="bullet"/>
      <w:lvlText w:val=""/>
      <w:lvlJc w:val="left"/>
      <w:pPr>
        <w:ind w:left="7255" w:hanging="360"/>
      </w:pPr>
      <w:rPr>
        <w:rFonts w:ascii="Wingdings" w:hAnsi="Wingdings" w:hint="default"/>
      </w:rPr>
    </w:lvl>
  </w:abstractNum>
  <w:abstractNum w:abstractNumId="9">
    <w:nsid w:val="5F5212FE"/>
    <w:multiLevelType w:val="hybridMultilevel"/>
    <w:tmpl w:val="C128B8EC"/>
    <w:lvl w:ilvl="0" w:tplc="04020001">
      <w:start w:val="1"/>
      <w:numFmt w:val="bullet"/>
      <w:lvlText w:val=""/>
      <w:lvlJc w:val="left"/>
      <w:pPr>
        <w:ind w:left="1776" w:hanging="360"/>
      </w:pPr>
      <w:rPr>
        <w:rFonts w:ascii="Symbol" w:hAnsi="Symbol" w:hint="default"/>
      </w:rPr>
    </w:lvl>
    <w:lvl w:ilvl="1" w:tplc="04020003" w:tentative="1">
      <w:start w:val="1"/>
      <w:numFmt w:val="bullet"/>
      <w:lvlText w:val="o"/>
      <w:lvlJc w:val="left"/>
      <w:pPr>
        <w:ind w:left="2496" w:hanging="360"/>
      </w:pPr>
      <w:rPr>
        <w:rFonts w:ascii="Courier New" w:hAnsi="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10">
    <w:nsid w:val="62385381"/>
    <w:multiLevelType w:val="hybridMultilevel"/>
    <w:tmpl w:val="6F1AB0C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nsid w:val="67142E68"/>
    <w:multiLevelType w:val="hybridMultilevel"/>
    <w:tmpl w:val="EC7049E0"/>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2">
    <w:nsid w:val="729E70A4"/>
    <w:multiLevelType w:val="hybridMultilevel"/>
    <w:tmpl w:val="6B2E5180"/>
    <w:lvl w:ilvl="0" w:tplc="3334B922">
      <w:start w:val="1"/>
      <w:numFmt w:val="bullet"/>
      <w:lvlText w:val=""/>
      <w:lvlJc w:val="left"/>
      <w:pPr>
        <w:ind w:left="1428" w:hanging="360"/>
      </w:pPr>
      <w:rPr>
        <w:rFonts w:ascii="Symbol" w:hAnsi="Symbol" w:hint="default"/>
        <w:sz w:val="20"/>
      </w:rPr>
    </w:lvl>
    <w:lvl w:ilvl="1" w:tplc="3A728CE6">
      <w:numFmt w:val="bullet"/>
      <w:lvlText w:val="•"/>
      <w:lvlJc w:val="left"/>
      <w:pPr>
        <w:ind w:left="2493" w:hanging="705"/>
      </w:pPr>
      <w:rPr>
        <w:rFonts w:ascii="Calibri" w:eastAsia="Times New Roman" w:hAnsi="Calibri"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5"/>
  </w:num>
  <w:num w:numId="2">
    <w:abstractNumId w:val="7"/>
  </w:num>
  <w:num w:numId="3">
    <w:abstractNumId w:val="8"/>
  </w:num>
  <w:num w:numId="4">
    <w:abstractNumId w:val="4"/>
  </w:num>
  <w:num w:numId="5">
    <w:abstractNumId w:val="12"/>
  </w:num>
  <w:num w:numId="6">
    <w:abstractNumId w:val="9"/>
  </w:num>
  <w:num w:numId="7">
    <w:abstractNumId w:val="10"/>
  </w:num>
  <w:num w:numId="8">
    <w:abstractNumId w:val="1"/>
  </w:num>
  <w:num w:numId="9">
    <w:abstractNumId w:val="0"/>
  </w:num>
  <w:num w:numId="10">
    <w:abstractNumId w:val="2"/>
  </w:num>
  <w:num w:numId="11">
    <w:abstractNumId w:val="6"/>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0A81"/>
    <w:rsid w:val="00003450"/>
    <w:rsid w:val="000063AE"/>
    <w:rsid w:val="00010558"/>
    <w:rsid w:val="00010EAF"/>
    <w:rsid w:val="000116B5"/>
    <w:rsid w:val="0001423C"/>
    <w:rsid w:val="000218F7"/>
    <w:rsid w:val="00063B28"/>
    <w:rsid w:val="000668FB"/>
    <w:rsid w:val="00080A81"/>
    <w:rsid w:val="000921E9"/>
    <w:rsid w:val="0009323B"/>
    <w:rsid w:val="00094BD0"/>
    <w:rsid w:val="000C26BF"/>
    <w:rsid w:val="000D4E98"/>
    <w:rsid w:val="000D5ADE"/>
    <w:rsid w:val="000E122E"/>
    <w:rsid w:val="000E17D7"/>
    <w:rsid w:val="00105142"/>
    <w:rsid w:val="00112001"/>
    <w:rsid w:val="00133CEC"/>
    <w:rsid w:val="001421E2"/>
    <w:rsid w:val="00147CD5"/>
    <w:rsid w:val="001538B5"/>
    <w:rsid w:val="00155CDC"/>
    <w:rsid w:val="00157F6F"/>
    <w:rsid w:val="001606B9"/>
    <w:rsid w:val="001720D9"/>
    <w:rsid w:val="0017230A"/>
    <w:rsid w:val="00173710"/>
    <w:rsid w:val="001747F9"/>
    <w:rsid w:val="0018683A"/>
    <w:rsid w:val="00192151"/>
    <w:rsid w:val="00192641"/>
    <w:rsid w:val="00195D32"/>
    <w:rsid w:val="00196CA7"/>
    <w:rsid w:val="001A23D1"/>
    <w:rsid w:val="001D322B"/>
    <w:rsid w:val="001E3241"/>
    <w:rsid w:val="001E47C8"/>
    <w:rsid w:val="001E6753"/>
    <w:rsid w:val="00207D1A"/>
    <w:rsid w:val="00216E43"/>
    <w:rsid w:val="00225783"/>
    <w:rsid w:val="002304A1"/>
    <w:rsid w:val="00237EA6"/>
    <w:rsid w:val="00240FE1"/>
    <w:rsid w:val="00291CF7"/>
    <w:rsid w:val="00294123"/>
    <w:rsid w:val="002B0BFA"/>
    <w:rsid w:val="002B4D2D"/>
    <w:rsid w:val="002D7A34"/>
    <w:rsid w:val="002F2E80"/>
    <w:rsid w:val="00305162"/>
    <w:rsid w:val="00306641"/>
    <w:rsid w:val="00325226"/>
    <w:rsid w:val="00330E12"/>
    <w:rsid w:val="00343F78"/>
    <w:rsid w:val="003509BE"/>
    <w:rsid w:val="0035468C"/>
    <w:rsid w:val="003A7C44"/>
    <w:rsid w:val="003B2138"/>
    <w:rsid w:val="003B2A82"/>
    <w:rsid w:val="003D1FB4"/>
    <w:rsid w:val="003D39DE"/>
    <w:rsid w:val="003F49B2"/>
    <w:rsid w:val="00425F28"/>
    <w:rsid w:val="00430357"/>
    <w:rsid w:val="004319EF"/>
    <w:rsid w:val="00451F57"/>
    <w:rsid w:val="00456478"/>
    <w:rsid w:val="00471A12"/>
    <w:rsid w:val="00496B48"/>
    <w:rsid w:val="004A19D5"/>
    <w:rsid w:val="004A436C"/>
    <w:rsid w:val="004C19C0"/>
    <w:rsid w:val="004C3E49"/>
    <w:rsid w:val="004C4311"/>
    <w:rsid w:val="004D00BA"/>
    <w:rsid w:val="004D2AE2"/>
    <w:rsid w:val="004D4ED3"/>
    <w:rsid w:val="004E25A6"/>
    <w:rsid w:val="004E26B7"/>
    <w:rsid w:val="004E34A9"/>
    <w:rsid w:val="00501BD0"/>
    <w:rsid w:val="00501CE8"/>
    <w:rsid w:val="00502F23"/>
    <w:rsid w:val="00503335"/>
    <w:rsid w:val="00510488"/>
    <w:rsid w:val="005256AA"/>
    <w:rsid w:val="00527485"/>
    <w:rsid w:val="005307BC"/>
    <w:rsid w:val="00547E05"/>
    <w:rsid w:val="00551FD7"/>
    <w:rsid w:val="005549B3"/>
    <w:rsid w:val="00565614"/>
    <w:rsid w:val="00586082"/>
    <w:rsid w:val="005C5590"/>
    <w:rsid w:val="005D22C3"/>
    <w:rsid w:val="005D6DD8"/>
    <w:rsid w:val="005E0C91"/>
    <w:rsid w:val="005F484A"/>
    <w:rsid w:val="005F56FB"/>
    <w:rsid w:val="005F756F"/>
    <w:rsid w:val="005F75DD"/>
    <w:rsid w:val="006151C0"/>
    <w:rsid w:val="00620BBD"/>
    <w:rsid w:val="00625E19"/>
    <w:rsid w:val="0063070E"/>
    <w:rsid w:val="0066049F"/>
    <w:rsid w:val="00671DA5"/>
    <w:rsid w:val="006720E0"/>
    <w:rsid w:val="00690BCA"/>
    <w:rsid w:val="00693035"/>
    <w:rsid w:val="00696098"/>
    <w:rsid w:val="006A17FE"/>
    <w:rsid w:val="006B1F64"/>
    <w:rsid w:val="006D0647"/>
    <w:rsid w:val="00701FBC"/>
    <w:rsid w:val="00703B8B"/>
    <w:rsid w:val="007065B7"/>
    <w:rsid w:val="00713932"/>
    <w:rsid w:val="00715309"/>
    <w:rsid w:val="007154AF"/>
    <w:rsid w:val="00715FEA"/>
    <w:rsid w:val="007174A5"/>
    <w:rsid w:val="00726861"/>
    <w:rsid w:val="007340F3"/>
    <w:rsid w:val="00736BAC"/>
    <w:rsid w:val="00737C7A"/>
    <w:rsid w:val="00742C37"/>
    <w:rsid w:val="007457C9"/>
    <w:rsid w:val="00746D9D"/>
    <w:rsid w:val="007505B5"/>
    <w:rsid w:val="00753F41"/>
    <w:rsid w:val="007554A0"/>
    <w:rsid w:val="007572A4"/>
    <w:rsid w:val="00761ABA"/>
    <w:rsid w:val="00765A92"/>
    <w:rsid w:val="00770371"/>
    <w:rsid w:val="00785D2F"/>
    <w:rsid w:val="00794B39"/>
    <w:rsid w:val="0079648F"/>
    <w:rsid w:val="007A3318"/>
    <w:rsid w:val="007D59C2"/>
    <w:rsid w:val="007E196E"/>
    <w:rsid w:val="007E1B47"/>
    <w:rsid w:val="007E6205"/>
    <w:rsid w:val="007F15EC"/>
    <w:rsid w:val="007F341E"/>
    <w:rsid w:val="00811C0F"/>
    <w:rsid w:val="00830281"/>
    <w:rsid w:val="008313D6"/>
    <w:rsid w:val="0083665B"/>
    <w:rsid w:val="008402C6"/>
    <w:rsid w:val="00840535"/>
    <w:rsid w:val="008521AF"/>
    <w:rsid w:val="008605EE"/>
    <w:rsid w:val="00872282"/>
    <w:rsid w:val="00876F64"/>
    <w:rsid w:val="008B22A6"/>
    <w:rsid w:val="008C18C5"/>
    <w:rsid w:val="008C293D"/>
    <w:rsid w:val="008C698E"/>
    <w:rsid w:val="008D1E2E"/>
    <w:rsid w:val="008D4F28"/>
    <w:rsid w:val="008F2FD1"/>
    <w:rsid w:val="008F4129"/>
    <w:rsid w:val="00902FA4"/>
    <w:rsid w:val="00916ECB"/>
    <w:rsid w:val="00922BBE"/>
    <w:rsid w:val="00933C55"/>
    <w:rsid w:val="00933D53"/>
    <w:rsid w:val="00947863"/>
    <w:rsid w:val="00962BB2"/>
    <w:rsid w:val="00971830"/>
    <w:rsid w:val="00972F58"/>
    <w:rsid w:val="00981B3C"/>
    <w:rsid w:val="00995C85"/>
    <w:rsid w:val="009A082A"/>
    <w:rsid w:val="009A1A45"/>
    <w:rsid w:val="009A5B5E"/>
    <w:rsid w:val="009B6430"/>
    <w:rsid w:val="009D64DC"/>
    <w:rsid w:val="009E7056"/>
    <w:rsid w:val="009F4677"/>
    <w:rsid w:val="009F4EBC"/>
    <w:rsid w:val="00A002F9"/>
    <w:rsid w:val="00A0086B"/>
    <w:rsid w:val="00A22BBC"/>
    <w:rsid w:val="00A354E7"/>
    <w:rsid w:val="00A409B4"/>
    <w:rsid w:val="00A43B73"/>
    <w:rsid w:val="00A47919"/>
    <w:rsid w:val="00A65708"/>
    <w:rsid w:val="00A674D3"/>
    <w:rsid w:val="00A903B3"/>
    <w:rsid w:val="00A92D82"/>
    <w:rsid w:val="00AA3C75"/>
    <w:rsid w:val="00AB437F"/>
    <w:rsid w:val="00AD640E"/>
    <w:rsid w:val="00AD6ED9"/>
    <w:rsid w:val="00AE101F"/>
    <w:rsid w:val="00AE44BA"/>
    <w:rsid w:val="00AE4AE0"/>
    <w:rsid w:val="00AF2220"/>
    <w:rsid w:val="00B10168"/>
    <w:rsid w:val="00B1349D"/>
    <w:rsid w:val="00B21139"/>
    <w:rsid w:val="00B37480"/>
    <w:rsid w:val="00B47271"/>
    <w:rsid w:val="00B736EE"/>
    <w:rsid w:val="00B86DFF"/>
    <w:rsid w:val="00B94FCA"/>
    <w:rsid w:val="00BA0BFF"/>
    <w:rsid w:val="00BA3F20"/>
    <w:rsid w:val="00BA5E71"/>
    <w:rsid w:val="00BD7C7F"/>
    <w:rsid w:val="00BE1F5F"/>
    <w:rsid w:val="00BF5CDC"/>
    <w:rsid w:val="00C033B5"/>
    <w:rsid w:val="00C12CD2"/>
    <w:rsid w:val="00C22BF8"/>
    <w:rsid w:val="00C36077"/>
    <w:rsid w:val="00C41F77"/>
    <w:rsid w:val="00C436CE"/>
    <w:rsid w:val="00C67CAB"/>
    <w:rsid w:val="00C761C9"/>
    <w:rsid w:val="00CB351E"/>
    <w:rsid w:val="00CB4A06"/>
    <w:rsid w:val="00CB6DD0"/>
    <w:rsid w:val="00CC2211"/>
    <w:rsid w:val="00CD6181"/>
    <w:rsid w:val="00CF3782"/>
    <w:rsid w:val="00CF753B"/>
    <w:rsid w:val="00D00351"/>
    <w:rsid w:val="00D0620F"/>
    <w:rsid w:val="00D23834"/>
    <w:rsid w:val="00D3572D"/>
    <w:rsid w:val="00D51FD6"/>
    <w:rsid w:val="00D53E34"/>
    <w:rsid w:val="00D65970"/>
    <w:rsid w:val="00D66BE2"/>
    <w:rsid w:val="00D71DEE"/>
    <w:rsid w:val="00D75018"/>
    <w:rsid w:val="00D84BF9"/>
    <w:rsid w:val="00DB0C4C"/>
    <w:rsid w:val="00DB3302"/>
    <w:rsid w:val="00DB6511"/>
    <w:rsid w:val="00DC51AD"/>
    <w:rsid w:val="00DC62B8"/>
    <w:rsid w:val="00DE5EB1"/>
    <w:rsid w:val="00DE7A8A"/>
    <w:rsid w:val="00E10BA1"/>
    <w:rsid w:val="00E214FD"/>
    <w:rsid w:val="00E2423F"/>
    <w:rsid w:val="00E3301C"/>
    <w:rsid w:val="00E438A6"/>
    <w:rsid w:val="00E53A2E"/>
    <w:rsid w:val="00E758EC"/>
    <w:rsid w:val="00E75A86"/>
    <w:rsid w:val="00E82F40"/>
    <w:rsid w:val="00E90CED"/>
    <w:rsid w:val="00E90D9D"/>
    <w:rsid w:val="00EA5295"/>
    <w:rsid w:val="00EA6CBE"/>
    <w:rsid w:val="00EC07A3"/>
    <w:rsid w:val="00ED0CB7"/>
    <w:rsid w:val="00ED21BA"/>
    <w:rsid w:val="00EE0E32"/>
    <w:rsid w:val="00EE6E77"/>
    <w:rsid w:val="00EF142F"/>
    <w:rsid w:val="00F048A8"/>
    <w:rsid w:val="00F13B76"/>
    <w:rsid w:val="00F13CDE"/>
    <w:rsid w:val="00F142DF"/>
    <w:rsid w:val="00F32F3E"/>
    <w:rsid w:val="00F509D7"/>
    <w:rsid w:val="00F55ECD"/>
    <w:rsid w:val="00F57099"/>
    <w:rsid w:val="00F62034"/>
    <w:rsid w:val="00F74BDF"/>
    <w:rsid w:val="00F901BE"/>
    <w:rsid w:val="00F95EBD"/>
    <w:rsid w:val="00FE3AF3"/>
    <w:rsid w:val="00FF3486"/>
    <w:rsid w:val="00FF43D5"/>
    <w:rsid w:val="00FF4A5F"/>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5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0A81"/>
    <w:pPr>
      <w:tabs>
        <w:tab w:val="center" w:pos="4536"/>
        <w:tab w:val="right" w:pos="9072"/>
      </w:tabs>
      <w:spacing w:after="0" w:line="240" w:lineRule="auto"/>
    </w:pPr>
    <w:rPr>
      <w:sz w:val="20"/>
      <w:szCs w:val="20"/>
      <w:lang w:eastAsia="bg-BG"/>
    </w:rPr>
  </w:style>
  <w:style w:type="character" w:customStyle="1" w:styleId="HeaderChar">
    <w:name w:val="Header Char"/>
    <w:basedOn w:val="DefaultParagraphFont"/>
    <w:link w:val="Header"/>
    <w:uiPriority w:val="99"/>
    <w:locked/>
    <w:rsid w:val="00080A81"/>
  </w:style>
  <w:style w:type="paragraph" w:styleId="Footer">
    <w:name w:val="footer"/>
    <w:basedOn w:val="Normal"/>
    <w:link w:val="FooterChar"/>
    <w:uiPriority w:val="99"/>
    <w:rsid w:val="00080A81"/>
    <w:pPr>
      <w:tabs>
        <w:tab w:val="center" w:pos="4536"/>
        <w:tab w:val="right" w:pos="9072"/>
      </w:tabs>
      <w:spacing w:after="0" w:line="240" w:lineRule="auto"/>
    </w:pPr>
    <w:rPr>
      <w:sz w:val="20"/>
      <w:szCs w:val="20"/>
      <w:lang w:eastAsia="bg-BG"/>
    </w:rPr>
  </w:style>
  <w:style w:type="character" w:customStyle="1" w:styleId="FooterChar">
    <w:name w:val="Footer Char"/>
    <w:basedOn w:val="DefaultParagraphFont"/>
    <w:link w:val="Footer"/>
    <w:uiPriority w:val="99"/>
    <w:locked/>
    <w:rsid w:val="00080A81"/>
  </w:style>
  <w:style w:type="table" w:styleId="TableGrid">
    <w:name w:val="Table Grid"/>
    <w:basedOn w:val="TableNormal"/>
    <w:uiPriority w:val="99"/>
    <w:rsid w:val="00080A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F49B2"/>
    <w:pPr>
      <w:spacing w:after="0" w:line="240" w:lineRule="auto"/>
    </w:pPr>
    <w:rPr>
      <w:rFonts w:ascii="Tahoma" w:hAnsi="Tahoma"/>
      <w:sz w:val="16"/>
      <w:szCs w:val="16"/>
      <w:lang w:eastAsia="bg-BG"/>
    </w:rPr>
  </w:style>
  <w:style w:type="character" w:customStyle="1" w:styleId="BalloonTextChar">
    <w:name w:val="Balloon Text Char"/>
    <w:basedOn w:val="DefaultParagraphFont"/>
    <w:link w:val="BalloonText"/>
    <w:uiPriority w:val="99"/>
    <w:semiHidden/>
    <w:locked/>
    <w:rsid w:val="003F49B2"/>
    <w:rPr>
      <w:rFonts w:ascii="Tahoma" w:hAnsi="Tahoma"/>
      <w:sz w:val="16"/>
    </w:rPr>
  </w:style>
  <w:style w:type="paragraph" w:styleId="EndnoteText">
    <w:name w:val="endnote text"/>
    <w:basedOn w:val="Normal"/>
    <w:link w:val="EndnoteTextChar"/>
    <w:uiPriority w:val="99"/>
    <w:semiHidden/>
    <w:rsid w:val="00CC2211"/>
    <w:pPr>
      <w:spacing w:after="0" w:line="240" w:lineRule="auto"/>
    </w:pPr>
    <w:rPr>
      <w:sz w:val="20"/>
      <w:szCs w:val="20"/>
      <w:lang w:eastAsia="bg-BG"/>
    </w:rPr>
  </w:style>
  <w:style w:type="character" w:customStyle="1" w:styleId="EndnoteTextChar">
    <w:name w:val="Endnote Text Char"/>
    <w:basedOn w:val="DefaultParagraphFont"/>
    <w:link w:val="EndnoteText"/>
    <w:uiPriority w:val="99"/>
    <w:semiHidden/>
    <w:locked/>
    <w:rsid w:val="00CC2211"/>
    <w:rPr>
      <w:sz w:val="20"/>
    </w:rPr>
  </w:style>
  <w:style w:type="character" w:styleId="EndnoteReference">
    <w:name w:val="endnote reference"/>
    <w:basedOn w:val="DefaultParagraphFont"/>
    <w:uiPriority w:val="99"/>
    <w:semiHidden/>
    <w:rsid w:val="00CC2211"/>
    <w:rPr>
      <w:rFonts w:cs="Times New Roman"/>
      <w:vertAlign w:val="superscript"/>
    </w:rPr>
  </w:style>
  <w:style w:type="paragraph" w:styleId="FootnoteText">
    <w:name w:val="footnote text"/>
    <w:basedOn w:val="Normal"/>
    <w:link w:val="FootnoteTextChar"/>
    <w:uiPriority w:val="99"/>
    <w:semiHidden/>
    <w:rsid w:val="00CC2211"/>
    <w:pPr>
      <w:spacing w:after="0" w:line="240" w:lineRule="auto"/>
    </w:pPr>
    <w:rPr>
      <w:sz w:val="20"/>
      <w:szCs w:val="20"/>
      <w:lang w:eastAsia="bg-BG"/>
    </w:rPr>
  </w:style>
  <w:style w:type="character" w:customStyle="1" w:styleId="FootnoteTextChar">
    <w:name w:val="Footnote Text Char"/>
    <w:basedOn w:val="DefaultParagraphFont"/>
    <w:link w:val="FootnoteText"/>
    <w:uiPriority w:val="99"/>
    <w:semiHidden/>
    <w:locked/>
    <w:rsid w:val="00CC2211"/>
    <w:rPr>
      <w:sz w:val="20"/>
    </w:rPr>
  </w:style>
  <w:style w:type="character" w:styleId="FootnoteReference">
    <w:name w:val="footnote reference"/>
    <w:basedOn w:val="DefaultParagraphFont"/>
    <w:uiPriority w:val="99"/>
    <w:semiHidden/>
    <w:rsid w:val="00CC2211"/>
    <w:rPr>
      <w:rFonts w:cs="Times New Roman"/>
      <w:vertAlign w:val="superscript"/>
    </w:rPr>
  </w:style>
  <w:style w:type="paragraph" w:customStyle="1" w:styleId="CM1">
    <w:name w:val="CM1"/>
    <w:basedOn w:val="Normal"/>
    <w:next w:val="Normal"/>
    <w:uiPriority w:val="99"/>
    <w:rsid w:val="008D1E2E"/>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8D1E2E"/>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8D1E2E"/>
    <w:pPr>
      <w:autoSpaceDE w:val="0"/>
      <w:autoSpaceDN w:val="0"/>
      <w:adjustRightInd w:val="0"/>
      <w:spacing w:after="0" w:line="240" w:lineRule="auto"/>
    </w:pPr>
    <w:rPr>
      <w:rFonts w:ascii="EUAlbertina" w:hAnsi="EUAlbertina"/>
      <w:sz w:val="24"/>
      <w:szCs w:val="24"/>
    </w:rPr>
  </w:style>
  <w:style w:type="paragraph" w:customStyle="1" w:styleId="Default">
    <w:name w:val="Default"/>
    <w:uiPriority w:val="99"/>
    <w:rsid w:val="000D5ADE"/>
    <w:pPr>
      <w:autoSpaceDE w:val="0"/>
      <w:autoSpaceDN w:val="0"/>
      <w:adjustRightInd w:val="0"/>
    </w:pPr>
    <w:rPr>
      <w:color w:val="000000"/>
      <w:sz w:val="24"/>
      <w:szCs w:val="24"/>
      <w:lang w:eastAsia="en-US"/>
    </w:rPr>
  </w:style>
  <w:style w:type="paragraph" w:styleId="ListParagraph">
    <w:name w:val="List Paragraph"/>
    <w:basedOn w:val="Normal"/>
    <w:uiPriority w:val="99"/>
    <w:qFormat/>
    <w:rsid w:val="00C22BF8"/>
    <w:pPr>
      <w:ind w:left="720"/>
    </w:pPr>
  </w:style>
</w:styles>
</file>

<file path=word/webSettings.xml><?xml version="1.0" encoding="utf-8"?>
<w:webSettings xmlns:r="http://schemas.openxmlformats.org/officeDocument/2006/relationships" xmlns:w="http://schemas.openxmlformats.org/wordprocessingml/2006/main">
  <w:divs>
    <w:div w:id="623468016">
      <w:marLeft w:val="0"/>
      <w:marRight w:val="0"/>
      <w:marTop w:val="0"/>
      <w:marBottom w:val="0"/>
      <w:divBdr>
        <w:top w:val="none" w:sz="0" w:space="0" w:color="auto"/>
        <w:left w:val="none" w:sz="0" w:space="0" w:color="auto"/>
        <w:bottom w:val="none" w:sz="0" w:space="0" w:color="auto"/>
        <w:right w:val="none" w:sz="0" w:space="0" w:color="auto"/>
      </w:divBdr>
    </w:div>
    <w:div w:id="623468017">
      <w:marLeft w:val="0"/>
      <w:marRight w:val="0"/>
      <w:marTop w:val="0"/>
      <w:marBottom w:val="0"/>
      <w:divBdr>
        <w:top w:val="none" w:sz="0" w:space="0" w:color="auto"/>
        <w:left w:val="none" w:sz="0" w:space="0" w:color="auto"/>
        <w:bottom w:val="none" w:sz="0" w:space="0" w:color="auto"/>
        <w:right w:val="none" w:sz="0" w:space="0" w:color="auto"/>
      </w:divBdr>
      <w:divsChild>
        <w:div w:id="623468018">
          <w:marLeft w:val="0"/>
          <w:marRight w:val="0"/>
          <w:marTop w:val="150"/>
          <w:marBottom w:val="0"/>
          <w:divBdr>
            <w:top w:val="single" w:sz="6" w:space="0" w:color="FFFFFF"/>
            <w:left w:val="single" w:sz="6" w:space="0" w:color="FFFFFF"/>
            <w:bottom w:val="single" w:sz="6" w:space="0" w:color="FFFFFF"/>
            <w:right w:val="single" w:sz="6" w:space="0" w:color="FFFFFF"/>
          </w:divBdr>
        </w:div>
        <w:div w:id="623468024">
          <w:marLeft w:val="0"/>
          <w:marRight w:val="0"/>
          <w:marTop w:val="150"/>
          <w:marBottom w:val="0"/>
          <w:divBdr>
            <w:top w:val="single" w:sz="6" w:space="0" w:color="FFFFFF"/>
            <w:left w:val="single" w:sz="6" w:space="0" w:color="FFFFFF"/>
            <w:bottom w:val="single" w:sz="6" w:space="0" w:color="FFFFFF"/>
            <w:right w:val="single" w:sz="6" w:space="0" w:color="FFFFFF"/>
          </w:divBdr>
          <w:divsChild>
            <w:div w:id="623468012">
              <w:marLeft w:val="0"/>
              <w:marRight w:val="60"/>
              <w:marTop w:val="45"/>
              <w:marBottom w:val="0"/>
              <w:divBdr>
                <w:top w:val="none" w:sz="0" w:space="0" w:color="auto"/>
                <w:left w:val="none" w:sz="0" w:space="0" w:color="auto"/>
                <w:bottom w:val="none" w:sz="0" w:space="0" w:color="auto"/>
                <w:right w:val="none" w:sz="0" w:space="0" w:color="auto"/>
              </w:divBdr>
            </w:div>
            <w:div w:id="623468015">
              <w:marLeft w:val="0"/>
              <w:marRight w:val="60"/>
              <w:marTop w:val="45"/>
              <w:marBottom w:val="0"/>
              <w:divBdr>
                <w:top w:val="none" w:sz="0" w:space="0" w:color="auto"/>
                <w:left w:val="none" w:sz="0" w:space="0" w:color="auto"/>
                <w:bottom w:val="none" w:sz="0" w:space="0" w:color="auto"/>
                <w:right w:val="none" w:sz="0" w:space="0" w:color="auto"/>
              </w:divBdr>
            </w:div>
            <w:div w:id="623468021">
              <w:marLeft w:val="0"/>
              <w:marRight w:val="60"/>
              <w:marTop w:val="45"/>
              <w:marBottom w:val="0"/>
              <w:divBdr>
                <w:top w:val="none" w:sz="0" w:space="0" w:color="auto"/>
                <w:left w:val="none" w:sz="0" w:space="0" w:color="auto"/>
                <w:bottom w:val="none" w:sz="0" w:space="0" w:color="auto"/>
                <w:right w:val="none" w:sz="0" w:space="0" w:color="auto"/>
              </w:divBdr>
            </w:div>
            <w:div w:id="623468022">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23468020">
      <w:marLeft w:val="0"/>
      <w:marRight w:val="0"/>
      <w:marTop w:val="0"/>
      <w:marBottom w:val="0"/>
      <w:divBdr>
        <w:top w:val="none" w:sz="0" w:space="0" w:color="auto"/>
        <w:left w:val="none" w:sz="0" w:space="0" w:color="auto"/>
        <w:bottom w:val="none" w:sz="0" w:space="0" w:color="auto"/>
        <w:right w:val="none" w:sz="0" w:space="0" w:color="auto"/>
      </w:divBdr>
      <w:divsChild>
        <w:div w:id="623468026">
          <w:marLeft w:val="0"/>
          <w:marRight w:val="0"/>
          <w:marTop w:val="150"/>
          <w:marBottom w:val="0"/>
          <w:divBdr>
            <w:top w:val="single" w:sz="6" w:space="0" w:color="FFFFFF"/>
            <w:left w:val="single" w:sz="6" w:space="0" w:color="FFFFFF"/>
            <w:bottom w:val="single" w:sz="6" w:space="0" w:color="FFFFFF"/>
            <w:right w:val="single" w:sz="6" w:space="0" w:color="FFFFFF"/>
          </w:divBdr>
          <w:divsChild>
            <w:div w:id="623468011">
              <w:marLeft w:val="0"/>
              <w:marRight w:val="60"/>
              <w:marTop w:val="45"/>
              <w:marBottom w:val="0"/>
              <w:divBdr>
                <w:top w:val="none" w:sz="0" w:space="0" w:color="auto"/>
                <w:left w:val="none" w:sz="0" w:space="0" w:color="auto"/>
                <w:bottom w:val="none" w:sz="0" w:space="0" w:color="auto"/>
                <w:right w:val="none" w:sz="0" w:space="0" w:color="auto"/>
              </w:divBdr>
            </w:div>
            <w:div w:id="623468014">
              <w:marLeft w:val="0"/>
              <w:marRight w:val="60"/>
              <w:marTop w:val="45"/>
              <w:marBottom w:val="0"/>
              <w:divBdr>
                <w:top w:val="none" w:sz="0" w:space="0" w:color="auto"/>
                <w:left w:val="none" w:sz="0" w:space="0" w:color="auto"/>
                <w:bottom w:val="none" w:sz="0" w:space="0" w:color="auto"/>
                <w:right w:val="none" w:sz="0" w:space="0" w:color="auto"/>
              </w:divBdr>
            </w:div>
            <w:div w:id="623468019">
              <w:marLeft w:val="0"/>
              <w:marRight w:val="60"/>
              <w:marTop w:val="45"/>
              <w:marBottom w:val="0"/>
              <w:divBdr>
                <w:top w:val="none" w:sz="0" w:space="0" w:color="auto"/>
                <w:left w:val="none" w:sz="0" w:space="0" w:color="auto"/>
                <w:bottom w:val="none" w:sz="0" w:space="0" w:color="auto"/>
                <w:right w:val="none" w:sz="0" w:space="0" w:color="auto"/>
              </w:divBdr>
            </w:div>
            <w:div w:id="623468023">
              <w:marLeft w:val="0"/>
              <w:marRight w:val="60"/>
              <w:marTop w:val="45"/>
              <w:marBottom w:val="0"/>
              <w:divBdr>
                <w:top w:val="none" w:sz="0" w:space="0" w:color="auto"/>
                <w:left w:val="none" w:sz="0" w:space="0" w:color="auto"/>
                <w:bottom w:val="none" w:sz="0" w:space="0" w:color="auto"/>
                <w:right w:val="none" w:sz="0" w:space="0" w:color="auto"/>
              </w:divBdr>
            </w:div>
          </w:divsChild>
        </w:div>
        <w:div w:id="6234680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23468025">
      <w:marLeft w:val="0"/>
      <w:marRight w:val="0"/>
      <w:marTop w:val="0"/>
      <w:marBottom w:val="0"/>
      <w:divBdr>
        <w:top w:val="none" w:sz="0" w:space="0" w:color="auto"/>
        <w:left w:val="none" w:sz="0" w:space="0" w:color="auto"/>
        <w:bottom w:val="none" w:sz="0" w:space="0" w:color="auto"/>
        <w:right w:val="none" w:sz="0" w:space="0" w:color="auto"/>
      </w:divBdr>
      <w:divsChild>
        <w:div w:id="6234680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aktiki.mon.bg/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8034</Words>
  <Characters>-32766</Characters>
  <Application>Microsoft Office Outlook</Application>
  <DocSecurity>0</DocSecurity>
  <Lines>0</Lines>
  <Paragraphs>0</Paragraphs>
  <ScaleCrop>false</ScaleCrop>
  <Company>MTSP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 изпълнението на Националната инициатива „Работа за младите хора в България“ 2012-2013 г</dc:title>
  <dc:subject/>
  <dc:creator>Jivka Mintcheva</dc:creator>
  <cp:keywords/>
  <dc:description/>
  <cp:lastModifiedBy>L.Abadjieva</cp:lastModifiedBy>
  <cp:revision>2</cp:revision>
  <cp:lastPrinted>2013-10-03T05:53:00Z</cp:lastPrinted>
  <dcterms:created xsi:type="dcterms:W3CDTF">2013-10-22T08:25:00Z</dcterms:created>
  <dcterms:modified xsi:type="dcterms:W3CDTF">2013-10-22T08:25:00Z</dcterms:modified>
</cp:coreProperties>
</file>